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lang w:val="it-IT"/>
        </w:rPr>
      </w:pPr>
      <w:r>
        <w:rPr>
          <w:lang w:val="it-IT"/>
        </w:rPr>
        <w:t>Allegato 1 Rep_______</w:t>
      </w:r>
    </w:p>
    <w:p>
      <w:pPr>
        <w:pStyle w:val="Normal"/>
        <w:rPr>
          <w:lang w:val="it-IT"/>
        </w:rPr>
      </w:pPr>
      <w:r>
        <w:rPr>
          <w:b/>
          <w:lang w:val="it-IT"/>
        </w:rPr>
        <w:t>CONVENZIONE PER LA GESTIONE, IN FORMA ASSOCIATA, DEL NUOVO UFFICIO UNICO ACCORPATO DEL GIUDICE DI PACE DI EMPOLI E DELL’UFFICIO DI PROSSIMITA’</w:t>
      </w:r>
    </w:p>
    <w:p>
      <w:pPr>
        <w:pStyle w:val="Normal"/>
        <w:rPr>
          <w:lang w:val="it-IT"/>
        </w:rPr>
      </w:pPr>
      <w:r>
        <w:rPr>
          <w:lang w:val="it-IT"/>
        </w:rPr>
      </w:r>
    </w:p>
    <w:p>
      <w:pPr>
        <w:pStyle w:val="Normal"/>
        <w:rPr>
          <w:lang w:val="it-IT"/>
        </w:rPr>
      </w:pPr>
      <w:r>
        <w:rPr>
          <w:lang w:val="it-IT"/>
        </w:rPr>
        <w:t>L’anno_____________________del giorno___________ del mese di ______________________</w:t>
      </w:r>
    </w:p>
    <w:p>
      <w:pPr>
        <w:pStyle w:val="Normal"/>
        <w:rPr>
          <w:lang w:val="it-IT"/>
        </w:rPr>
      </w:pPr>
      <w:r>
        <w:rPr>
          <w:lang w:val="it-IT"/>
        </w:rPr>
      </w:r>
    </w:p>
    <w:p>
      <w:pPr>
        <w:pStyle w:val="Normal"/>
        <w:rPr>
          <w:lang w:val="it-IT"/>
        </w:rPr>
      </w:pPr>
      <w:r>
        <w:rPr>
          <w:lang w:val="it-IT"/>
        </w:rPr>
        <w:t>TRA</w:t>
      </w:r>
    </w:p>
    <w:p>
      <w:pPr>
        <w:pStyle w:val="Normal"/>
        <w:rPr>
          <w:lang w:val="it-IT"/>
        </w:rPr>
      </w:pPr>
      <w:r>
        <w:rPr>
          <w:lang w:val="it-IT"/>
        </w:rPr>
        <w:t>Il Comune di Capraia e Limite,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Castelfiorentino,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Cerreto Guidi,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Certaldo,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Empoli,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Fucecchio,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Gambassi Terme,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Montaione,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Montelupo Fiorentino,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Montespertoli,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t>E</w:t>
      </w:r>
    </w:p>
    <w:p>
      <w:pPr>
        <w:pStyle w:val="Normal"/>
        <w:rPr>
          <w:lang w:val="it-IT"/>
        </w:rPr>
      </w:pPr>
      <w:r>
        <w:rPr>
          <w:lang w:val="it-IT"/>
        </w:rPr>
        <w:t>Il Comune di Vinci, legalmente rappresentato dal Sindaco__________, domiciliato per la sua carica nel Comune stesso, il quale interviene nel presente atto in forza della delibera consiliare n._____ del__________</w:t>
      </w:r>
    </w:p>
    <w:p>
      <w:pPr>
        <w:pStyle w:val="Normal"/>
        <w:rPr>
          <w:lang w:val="it-IT"/>
        </w:rPr>
      </w:pPr>
      <w:r>
        <w:rPr>
          <w:lang w:val="it-IT"/>
        </w:rPr>
      </w:r>
    </w:p>
    <w:p>
      <w:pPr>
        <w:pStyle w:val="Normal"/>
        <w:rPr>
          <w:lang w:val="it-IT"/>
        </w:rPr>
      </w:pPr>
      <w:r>
        <w:rPr>
          <w:lang w:val="it-IT"/>
        </w:rPr>
        <w:t>PREMESSO CHE</w:t>
      </w:r>
    </w:p>
    <w:p>
      <w:pPr>
        <w:pStyle w:val="Normal"/>
        <w:jc w:val="both"/>
        <w:rPr>
          <w:lang w:val="it-IT"/>
        </w:rPr>
      </w:pPr>
      <w:r>
        <w:rPr>
          <w:lang w:val="it-IT"/>
        </w:rPr>
        <w:t>1) Il Ministro della Giustizia, con Decreto del 27 maggio 2016, accoglieva l’istanza presentata dal Comune di Empoli, quale Ente Capofila, giusta delega conferita dai Consigli Comunali dei Comuni di Capraia e Limite, Castelfiorentino, Cerreto Guidi, Certaldo, Fucecchio, Gambassi Terme, Montaione, Montelupo F.no, Vinci e Montespertoli, di ricostituire in forma associata il Giudice di Pace di Empoli accorpando i soppressi Uffici del Giudice di Pace di Empoli e Castelfiorentino ed aggiungendo il Comune di Montespertoli prima sotto la giurisdizione del Giudice di Pace di Firenze, con oneri di mantenimento a carico degli Enti Locali richiedenti;</w:t>
      </w:r>
    </w:p>
    <w:p>
      <w:pPr>
        <w:pStyle w:val="Normal"/>
        <w:jc w:val="both"/>
        <w:rPr>
          <w:lang w:val="it-IT"/>
        </w:rPr>
      </w:pPr>
      <w:r>
        <w:rPr>
          <w:lang w:val="it-IT"/>
        </w:rPr>
        <w:t>2) in data otto (08) novembre 2016 (Rep. 28011) veniva sottoscritta dagli udici comuni dell’Empolese Valdelsa la convenzione per la gestione, in forma associata, del nuovo ufficio unico accorpato, del Giudice di Pace di Empoli di durata di anni cinque;</w:t>
      </w:r>
    </w:p>
    <w:p>
      <w:pPr>
        <w:pStyle w:val="Normal"/>
        <w:jc w:val="both"/>
        <w:rPr>
          <w:lang w:val="it-IT"/>
        </w:rPr>
      </w:pPr>
      <w:r>
        <w:rPr>
          <w:lang w:val="it-IT"/>
        </w:rPr>
        <w:t>3) in data 01 aprile 2017, prendeva avvio, come disposto dal Decreto del Ministero della Giustizia del 30 marzo 2017, il nuovo ufficio associato del Giudice di Pace di Empoli con oneri di funzionamento a carico degli Enti secondo le modalità concordate nella suddetta convenzione;</w:t>
      </w:r>
    </w:p>
    <w:p>
      <w:pPr>
        <w:pStyle w:val="Normal"/>
        <w:jc w:val="both"/>
        <w:rPr>
          <w:lang w:val="it-IT"/>
        </w:rPr>
      </w:pPr>
      <w:r>
        <w:rPr>
          <w:lang w:val="it-IT"/>
        </w:rPr>
        <w:t>4) in data cinque (05) novembre 2021 (Rep. 29402) veniva sottoscritta dagli udici comuni dell’Empolese Valdelsa la proroga della convenzione per la gestione, in forma associata, del nuovo ufficio unico accorpato, del Giudice di Pace di Empoli di durata di anni quattro;</w:t>
      </w:r>
    </w:p>
    <w:p>
      <w:pPr>
        <w:pStyle w:val="Normal"/>
        <w:jc w:val="both"/>
        <w:rPr>
          <w:lang w:val="it-IT"/>
        </w:rPr>
      </w:pPr>
      <w:r>
        <w:rPr>
          <w:lang w:val="it-IT"/>
        </w:rPr>
        <w:t>5) in data cinque (05) novembre 2025 (Rep. Scr. Priv. Digit. n. 81/2025) veniva sottoscritta dagli udici comuni dell’Empolese Valdelsa la proroga della convenzione per la gestione, in forma associata, del nuovo ufficio unico accorpato, del Giudice di Pace di Empoli di durata di anni uno;</w:t>
      </w:r>
    </w:p>
    <w:p>
      <w:pPr>
        <w:pStyle w:val="Normal"/>
        <w:jc w:val="both"/>
        <w:rPr>
          <w:lang w:val="it-IT"/>
        </w:rPr>
      </w:pPr>
      <w:r>
        <w:rPr>
          <w:lang w:val="it-IT"/>
        </w:rPr>
        <w:t>6) Il Comune di Empoli, nella sua qualità di ente capofila – in conformità all’indirizzo a suo tempo espresso dalla Conferenza dei Sindaci dei Comuni aderenti alla gestione associata dell’Ufficio del Giudice di Pace, ai sensi dell’art. 5 della convenziona medesima -, ha sottoscritto:</w:t>
      </w:r>
    </w:p>
    <w:p>
      <w:pPr>
        <w:pStyle w:val="Normal"/>
        <w:jc w:val="both"/>
        <w:rPr>
          <w:lang w:val="it-IT"/>
        </w:rPr>
      </w:pPr>
      <w:r>
        <w:rPr>
          <w:lang w:val="it-IT"/>
        </w:rPr>
        <w:t>- in data 03 dicembre 2018 il protocollo operativo per la costituzione degli uffici di prossimità con la Regione Toscana, La Città Metropolitana di Firenze, La Corte d'Appello di Firenze, il Tribunale di Firenze il Consiglio dell'ordine degli Avvocati di Firenze (l’art 7 prevedeva una durata sperimentale biennale con tacito rinnovo per un ulteriore biennio) e alla scadenza l’accordo di rinnovo del medesimo con variazione dell’art. 7: “Al termine del secondo biennio (3 dicembre 2022) il Protocollo è rinnovato tacitamente, annualmente, se non disdettato almeno tre mesi prima della scadenza, ovvero qualora vi siano necessità di modifiche”;</w:t>
      </w:r>
    </w:p>
    <w:p>
      <w:pPr>
        <w:pStyle w:val="Normal"/>
        <w:jc w:val="both"/>
        <w:rPr>
          <w:lang w:val="it-IT"/>
        </w:rPr>
      </w:pPr>
      <w:r>
        <w:rPr>
          <w:lang w:val="it-IT"/>
        </w:rPr>
        <w:t>- in data 16 maggio 2019 il Regolamento per l'Istituzione, l'organizzazione ed il funzionamento dell'Ufficio di Prossimità;</w:t>
      </w:r>
    </w:p>
    <w:p>
      <w:pPr>
        <w:pStyle w:val="Normal"/>
        <w:jc w:val="both"/>
        <w:rPr>
          <w:lang w:val="it-IT"/>
        </w:rPr>
      </w:pPr>
      <w:r>
        <w:rPr>
          <w:lang w:val="it-IT"/>
        </w:rPr>
        <w:t>7) la Conferenza dei Sindaci dell’Unione, quale organo proposto, ai sensi dell’art. 5 della Convenzione medesima, a dettare gli indirizzi e le misure attuative per la gestione del servizio associato, ha disposto di procedere alla proroga della convenzione apportando modifiche agli artt. 4; 7 e 9) con durata fino al 31/12/2029</w:t>
      </w:r>
    </w:p>
    <w:p>
      <w:pPr>
        <w:pStyle w:val="Normal"/>
        <w:jc w:val="both"/>
        <w:rPr>
          <w:lang w:val="it-IT"/>
        </w:rPr>
      </w:pPr>
      <w:r>
        <w:rPr>
          <w:lang w:val="it-IT"/>
        </w:rPr>
        <w:t>8) gli Enti aderenti alla convenzione hanno provveduto ad approvare lo schema di convenzione per la gestione in forma associata dell’Ufficio del Giudice di Pace edell’Ufficio di Prossimità con durata fino al 31/12/2029, ai sensi dell’art. 30 del T.U.E.L. 20 agosto 2000 n. 267:</w:t>
      </w:r>
    </w:p>
    <w:p>
      <w:pPr>
        <w:pStyle w:val="Normal"/>
        <w:rPr>
          <w:lang w:val="it-IT"/>
        </w:rPr>
      </w:pPr>
      <w:r>
        <w:rPr>
          <w:lang w:val="it-IT"/>
        </w:rPr>
        <w:t>- Comune di Capraia e Limite con delibera consiliare n.______ del ____________, dichiarata immediatamente eseguibile;</w:t>
      </w:r>
    </w:p>
    <w:p>
      <w:pPr>
        <w:pStyle w:val="Normal"/>
        <w:rPr>
          <w:lang w:val="it-IT"/>
        </w:rPr>
      </w:pPr>
      <w:r>
        <w:rPr>
          <w:lang w:val="it-IT"/>
        </w:rPr>
        <w:t>- Comune di Castelfiorentino con delibera consiliare n. _______ del _________, dichiarata immediatamente eseguibile;</w:t>
      </w:r>
    </w:p>
    <w:p>
      <w:pPr>
        <w:pStyle w:val="Normal"/>
        <w:rPr>
          <w:lang w:val="it-IT"/>
        </w:rPr>
      </w:pPr>
      <w:r>
        <w:rPr>
          <w:lang w:val="it-IT"/>
        </w:rPr>
        <w:t>- Comune di Cerreto Guidi con delibera consiliare n. _______ del _________, dichiarata immediatamente eseguibile;</w:t>
      </w:r>
    </w:p>
    <w:p>
      <w:pPr>
        <w:pStyle w:val="Normal"/>
        <w:rPr>
          <w:lang w:val="it-IT"/>
        </w:rPr>
      </w:pPr>
      <w:r>
        <w:rPr>
          <w:lang w:val="it-IT"/>
        </w:rPr>
        <w:t>- Comune di Certaldo con delibera consiliare n. _______ del _________, dichiarata immediatamente eseguibile;</w:t>
      </w:r>
    </w:p>
    <w:p>
      <w:pPr>
        <w:pStyle w:val="Normal"/>
        <w:rPr>
          <w:lang w:val="it-IT"/>
        </w:rPr>
      </w:pPr>
      <w:r>
        <w:rPr>
          <w:lang w:val="it-IT"/>
        </w:rPr>
        <w:t>- Comune di Empoli con delibera consiliare n. n. _______ del _________, dichiarata immediatamente eseguibile;</w:t>
      </w:r>
    </w:p>
    <w:p>
      <w:pPr>
        <w:pStyle w:val="Normal"/>
        <w:rPr>
          <w:lang w:val="it-IT"/>
        </w:rPr>
      </w:pPr>
      <w:r>
        <w:rPr>
          <w:lang w:val="it-IT"/>
        </w:rPr>
        <w:t>- Comune di Fucecchio con delibera consiliare n. _______ del _________, dichiarata immediatamente eseguibile;</w:t>
      </w:r>
    </w:p>
    <w:p>
      <w:pPr>
        <w:pStyle w:val="Normal"/>
        <w:rPr>
          <w:lang w:val="it-IT"/>
        </w:rPr>
      </w:pPr>
      <w:r>
        <w:rPr>
          <w:lang w:val="it-IT"/>
        </w:rPr>
        <w:t>- Comune di Gambassi Terme con delibera consiliare n. _______ del _________, dichiarata immediatamente eseguibile;</w:t>
      </w:r>
    </w:p>
    <w:p>
      <w:pPr>
        <w:pStyle w:val="Normal"/>
        <w:rPr>
          <w:lang w:val="it-IT"/>
        </w:rPr>
      </w:pPr>
      <w:r>
        <w:rPr>
          <w:lang w:val="it-IT"/>
        </w:rPr>
        <w:t>- Comune di Montaione con delibera consiliare n. _______ del _________, dichiarata immediatamente eseguibile;</w:t>
      </w:r>
    </w:p>
    <w:p>
      <w:pPr>
        <w:pStyle w:val="Normal"/>
        <w:rPr>
          <w:lang w:val="it-IT"/>
        </w:rPr>
      </w:pPr>
      <w:r>
        <w:rPr>
          <w:lang w:val="it-IT"/>
        </w:rPr>
        <w:t>- Comune di Montelupo Fiorentino con delibera consiliare n. _______ del _________, dichiarata immediatamente eseguibile;</w:t>
      </w:r>
    </w:p>
    <w:p>
      <w:pPr>
        <w:pStyle w:val="Normal"/>
        <w:rPr>
          <w:lang w:val="it-IT"/>
        </w:rPr>
      </w:pPr>
      <w:r>
        <w:rPr>
          <w:lang w:val="it-IT"/>
        </w:rPr>
        <w:t>- Comune di Montespertoli con delibera consiliare n. _______ del _________, dichiarata immediatamente eseguibile;</w:t>
      </w:r>
    </w:p>
    <w:p>
      <w:pPr>
        <w:pStyle w:val="Normal"/>
        <w:rPr>
          <w:lang w:val="it-IT"/>
        </w:rPr>
      </w:pPr>
      <w:r>
        <w:rPr>
          <w:lang w:val="it-IT"/>
        </w:rPr>
        <w:t>- Comune di Vinci con delibera consiliare n. _______ del _________, dichiarata immediatamente eseguibile;</w:t>
      </w:r>
    </w:p>
    <w:p>
      <w:pPr>
        <w:pStyle w:val="Normal"/>
        <w:rPr>
          <w:lang w:val="it-IT"/>
        </w:rPr>
      </w:pPr>
      <w:r>
        <w:rPr>
          <w:lang w:val="it-IT"/>
        </w:rPr>
      </w:r>
    </w:p>
    <w:p>
      <w:pPr>
        <w:pStyle w:val="Normal"/>
        <w:rPr>
          <w:lang w:val="it-IT"/>
        </w:rPr>
      </w:pPr>
      <w:r>
        <w:rPr>
          <w:lang w:val="it-IT"/>
        </w:rPr>
        <w:t>Tutto ciò premesso:</w:t>
      </w:r>
    </w:p>
    <w:p>
      <w:pPr>
        <w:pStyle w:val="Normal"/>
        <w:rPr>
          <w:lang w:val="it-IT"/>
        </w:rPr>
      </w:pPr>
      <w:r>
        <w:rPr>
          <w:lang w:val="it-IT"/>
        </w:rPr>
        <w:t>SI CONVIENE QUANTO SEGUE</w:t>
      </w:r>
    </w:p>
    <w:p>
      <w:pPr>
        <w:pStyle w:val="Normal"/>
        <w:rPr>
          <w:lang w:val="it-IT"/>
        </w:rPr>
      </w:pPr>
      <w:r>
        <w:rPr>
          <w:lang w:val="it-IT"/>
        </w:rPr>
      </w:r>
    </w:p>
    <w:p>
      <w:pPr>
        <w:pStyle w:val="Normal"/>
        <w:rPr>
          <w:lang w:val="it-IT"/>
        </w:rPr>
      </w:pPr>
      <w:r>
        <w:rPr>
          <w:b/>
          <w:lang w:val="it-IT"/>
        </w:rPr>
        <w:t>ART. 1 - OGGETTO E OBIETTIVI</w:t>
      </w:r>
    </w:p>
    <w:p>
      <w:pPr>
        <w:pStyle w:val="Normal"/>
        <w:jc w:val="both"/>
        <w:rPr>
          <w:lang w:val="it-IT"/>
        </w:rPr>
      </w:pPr>
      <w:r>
        <w:rPr>
          <w:lang w:val="it-IT"/>
        </w:rPr>
        <w:t xml:space="preserve">La presente convenzione ha per oggetto la gestione associata del ricostituito ed accorpato Giudice di Pace di Empoli </w:t>
      </w:r>
      <w:r>
        <w:rPr>
          <w:b/>
          <w:lang w:val="it-IT"/>
        </w:rPr>
        <w:t xml:space="preserve"> </w:t>
      </w:r>
      <w:r>
        <w:rPr>
          <w:lang w:val="it-IT"/>
        </w:rPr>
        <w:t>e dell’Ufficio di Prossimità. L’Ufficio del ricostituito Giudice di pace di Empoli ha come competenza ed estensione territoriale, quella determinata dall’accorpamento degli Uffici dell’Ex Giudice di Pace di Empoli e dell’Ex Giudice di Pace di Castelfiorentino ricomprendendo altresì al suo interno il territorio del Comune di Montespertoli.</w:t>
      </w:r>
    </w:p>
    <w:p>
      <w:pPr>
        <w:pStyle w:val="Normal"/>
        <w:jc w:val="both"/>
        <w:rPr>
          <w:lang w:val="it-IT"/>
        </w:rPr>
      </w:pPr>
      <w:r>
        <w:rPr>
          <w:lang w:val="it-IT"/>
        </w:rPr>
      </w:r>
    </w:p>
    <w:p>
      <w:pPr>
        <w:pStyle w:val="Normal"/>
        <w:rPr>
          <w:lang w:val="it-IT"/>
        </w:rPr>
      </w:pPr>
      <w:r>
        <w:rPr>
          <w:b/>
          <w:lang w:val="it-IT"/>
        </w:rPr>
        <w:t>ART 2 - ENTE CAPOFILA</w:t>
      </w:r>
    </w:p>
    <w:p>
      <w:pPr>
        <w:pStyle w:val="Normal"/>
        <w:jc w:val="both"/>
        <w:rPr>
          <w:lang w:val="it-IT"/>
        </w:rPr>
      </w:pPr>
      <w:r>
        <w:rPr>
          <w:lang w:val="it-IT"/>
        </w:rPr>
        <w:t>Il Comune di Empoli assume per concorde volontà dei firmatari il ruolo e le mansioni di Ente Capofila. Sarà onere del Comune Capofila:</w:t>
      </w:r>
    </w:p>
    <w:p>
      <w:pPr>
        <w:pStyle w:val="Normal"/>
        <w:jc w:val="both"/>
        <w:rPr>
          <w:lang w:val="it-IT"/>
        </w:rPr>
      </w:pPr>
      <w:r>
        <w:rPr>
          <w:lang w:val="it-IT"/>
        </w:rPr>
        <w:t>- garantire la disponibilità dell’immobile da destinare a sede dell’Ufficio Associato del Giudice di Pace;</w:t>
      </w:r>
    </w:p>
    <w:p>
      <w:pPr>
        <w:pStyle w:val="Normal"/>
        <w:jc w:val="both"/>
        <w:rPr>
          <w:lang w:val="it-IT"/>
        </w:rPr>
      </w:pPr>
      <w:r>
        <w:rPr>
          <w:lang w:val="it-IT"/>
        </w:rPr>
        <w:t>- garantire presso sede del Giudice di pace di Empoli la dotazione di suppellettili, arredi, beni mobili e risorse strumentali necessarie al funzionamento salva la ripartizione delle relative spese secondo i criteri di cui all'art. 9;</w:t>
      </w:r>
    </w:p>
    <w:p>
      <w:pPr>
        <w:pStyle w:val="Normal"/>
        <w:jc w:val="both"/>
        <w:rPr>
          <w:lang w:val="it-IT"/>
        </w:rPr>
      </w:pPr>
      <w:r>
        <w:rPr>
          <w:lang w:val="it-IT"/>
        </w:rPr>
        <w:t>- svolgere funzioni di coordinamento fra i Comuni aderenti;</w:t>
      </w:r>
    </w:p>
    <w:p>
      <w:pPr>
        <w:pStyle w:val="Normal"/>
        <w:jc w:val="both"/>
        <w:rPr>
          <w:lang w:val="it-IT"/>
        </w:rPr>
      </w:pPr>
      <w:r>
        <w:rPr>
          <w:lang w:val="it-IT"/>
        </w:rPr>
        <w:t>- intrattenere rapporti e relazioni in qualità di referente con il Ministero della Giustizia;</w:t>
      </w:r>
    </w:p>
    <w:p>
      <w:pPr>
        <w:pStyle w:val="Normal"/>
        <w:jc w:val="both"/>
        <w:rPr>
          <w:lang w:val="it-IT"/>
        </w:rPr>
      </w:pPr>
      <w:r>
        <w:rPr>
          <w:lang w:val="it-IT"/>
        </w:rPr>
        <w:t>- compiere quanto altro utile/necessario per il corretto e funzionale svolgimento della gestione associata.</w:t>
      </w:r>
    </w:p>
    <w:p>
      <w:pPr>
        <w:pStyle w:val="Normal"/>
        <w:jc w:val="both"/>
        <w:rPr>
          <w:lang w:val="it-IT"/>
        </w:rPr>
      </w:pPr>
      <w:r>
        <w:rPr>
          <w:lang w:val="it-IT"/>
        </w:rPr>
      </w:r>
    </w:p>
    <w:p>
      <w:pPr>
        <w:pStyle w:val="Normal"/>
        <w:rPr>
          <w:lang w:val="it-IT"/>
        </w:rPr>
      </w:pPr>
      <w:r>
        <w:rPr>
          <w:b/>
          <w:lang w:val="it-IT"/>
        </w:rPr>
        <w:t>ART 3 - DURATA</w:t>
      </w:r>
    </w:p>
    <w:p>
      <w:pPr>
        <w:pStyle w:val="Normal"/>
        <w:jc w:val="both"/>
        <w:rPr>
          <w:lang w:val="it-IT"/>
        </w:rPr>
      </w:pPr>
      <w:r>
        <w:rPr>
          <w:lang w:val="it-IT"/>
        </w:rPr>
        <w:t>La presente convenzione ha efficacia fino al 31 dicembre 2029. È facoltà degli Enti aderenti disporre la proroga della convenzione mediante conformi deliberazioni dei rispettivi Consigli Comunali, adottate prima della sua naturale scadenza.</w:t>
      </w:r>
    </w:p>
    <w:p>
      <w:pPr>
        <w:pStyle w:val="Normal"/>
        <w:rPr>
          <w:lang w:val="it-IT"/>
        </w:rPr>
      </w:pPr>
      <w:r>
        <w:rPr>
          <w:lang w:val="it-IT"/>
        </w:rPr>
      </w:r>
    </w:p>
    <w:p>
      <w:pPr>
        <w:pStyle w:val="Normal"/>
        <w:rPr>
          <w:lang w:val="it-IT"/>
        </w:rPr>
      </w:pPr>
      <w:r>
        <w:rPr>
          <w:b/>
          <w:lang w:val="it-IT"/>
        </w:rPr>
        <w:t>ART. 4 - COMPITI E FUNZIONI DEL COMUNE CAPOFILA</w:t>
      </w:r>
    </w:p>
    <w:p>
      <w:pPr>
        <w:pStyle w:val="Normal"/>
        <w:jc w:val="both"/>
        <w:rPr>
          <w:lang w:val="it-IT"/>
        </w:rPr>
      </w:pPr>
      <w:r>
        <w:rPr>
          <w:lang w:val="it-IT"/>
        </w:rPr>
        <w:t>Il Comune di Empoli, quale Ente Capofila, ha il compito di realizzare tutti i procedimenti amministrativi afferenti la gestione tecnica, contabile e giuridica nascente dalla presente convenzione</w:t>
      </w:r>
      <w:r>
        <w:rPr>
          <w:b/>
          <w:lang w:val="it-IT"/>
        </w:rPr>
        <w:t xml:space="preserve">, </w:t>
      </w:r>
      <w:r>
        <w:rPr>
          <w:lang w:val="it-IT"/>
        </w:rPr>
        <w:t>assumendone i relativi oneri procedurali e organizzativi.</w:t>
      </w:r>
    </w:p>
    <w:p>
      <w:pPr>
        <w:pStyle w:val="Normal"/>
        <w:jc w:val="both"/>
        <w:rPr>
          <w:lang w:val="it-IT"/>
        </w:rPr>
      </w:pPr>
      <w:r>
        <w:rPr>
          <w:lang w:val="it-IT"/>
        </w:rPr>
        <w:t>L’Ente Capofila relaziona annualmente alla Conferenza dei Sindaci dei Comuni dell'Empolese Valdelsa sull’andamento del servizio, dettagliando i costi dell’esercizio chiuso e redigendo la previsione di spesa per l’esercizio successivo. Ha inoltre il compito di realizzare ogni possibile economia per la gestione del servizio.</w:t>
      </w:r>
    </w:p>
    <w:p>
      <w:pPr>
        <w:pStyle w:val="Normal"/>
        <w:rPr>
          <w:lang w:val="it-IT"/>
        </w:rPr>
      </w:pPr>
      <w:r>
        <w:rPr>
          <w:lang w:val="it-IT"/>
        </w:rPr>
      </w:r>
    </w:p>
    <w:p>
      <w:pPr>
        <w:pStyle w:val="Normal"/>
        <w:rPr>
          <w:lang w:val="it-IT"/>
        </w:rPr>
      </w:pPr>
      <w:r>
        <w:rPr>
          <w:b/>
          <w:lang w:val="it-IT"/>
        </w:rPr>
        <w:t>ART. 5 – CONFERENZA DEI SINDACI DEI COMUNI DELL'EMPOLESE VALDELSA</w:t>
      </w:r>
    </w:p>
    <w:p>
      <w:pPr>
        <w:pStyle w:val="Normal"/>
        <w:jc w:val="both"/>
        <w:rPr>
          <w:lang w:val="it-IT"/>
        </w:rPr>
      </w:pPr>
      <w:r>
        <w:rPr>
          <w:lang w:val="it-IT"/>
        </w:rPr>
        <w:t>La Conferenza dei Sindaci dei Comuni aderenti alla presente convenzione è organo preposto a dettare gli “indirizzi e misure attuative” per la gestione del servizio qui convenzionato. Le misure attuative, se necessario, dovranno prontamente essere recepite dai Comuni firmatari.</w:t>
      </w:r>
    </w:p>
    <w:p>
      <w:pPr>
        <w:pStyle w:val="Normal"/>
        <w:jc w:val="both"/>
        <w:rPr>
          <w:lang w:val="it-IT"/>
        </w:rPr>
      </w:pPr>
      <w:r>
        <w:rPr>
          <w:lang w:val="it-IT"/>
        </w:rPr>
        <w:t>La Conferenza dei Sindaci coincidendo, ove tutti i Comuni dell'Unione Circondario Empolese Valdelsa aderiscano, con la Giunta dell'Unione, approva:</w:t>
      </w:r>
    </w:p>
    <w:p>
      <w:pPr>
        <w:pStyle w:val="Normal"/>
        <w:jc w:val="both"/>
        <w:rPr>
          <w:lang w:val="it-IT"/>
        </w:rPr>
      </w:pPr>
      <w:r>
        <w:rPr>
          <w:lang w:val="it-IT"/>
        </w:rPr>
        <w:t>- il rendiconto della gestione;</w:t>
      </w:r>
    </w:p>
    <w:p>
      <w:pPr>
        <w:pStyle w:val="Normal"/>
        <w:rPr>
          <w:lang w:val="it-IT"/>
        </w:rPr>
      </w:pPr>
      <w:r>
        <w:rPr>
          <w:lang w:val="it-IT"/>
        </w:rPr>
        <w:t>- il report sull’andamento del servizio predisposto dal Comune Capofila;</w:t>
      </w:r>
    </w:p>
    <w:p>
      <w:pPr>
        <w:pStyle w:val="Normal"/>
        <w:rPr>
          <w:lang w:val="it-IT"/>
        </w:rPr>
      </w:pPr>
      <w:r>
        <w:rPr>
          <w:lang w:val="it-IT"/>
        </w:rPr>
        <w:t>- esprime il proprio consenso su future ed eventuali nuove adesioni;</w:t>
      </w:r>
    </w:p>
    <w:p>
      <w:pPr>
        <w:pStyle w:val="Normal"/>
        <w:rPr>
          <w:lang w:val="it-IT"/>
        </w:rPr>
      </w:pPr>
      <w:r>
        <w:rPr>
          <w:lang w:val="it-IT"/>
        </w:rPr>
        <w:t>- esprime il proprio assenso al recesso laddove richiesto da questa convenzione;</w:t>
      </w:r>
    </w:p>
    <w:p>
      <w:pPr>
        <w:pStyle w:val="Normal"/>
        <w:rPr>
          <w:lang w:val="it-IT"/>
        </w:rPr>
      </w:pPr>
      <w:r>
        <w:rPr>
          <w:lang w:val="it-IT"/>
        </w:rPr>
        <w:t>- stabilisce le misure attuative da adottare.</w:t>
      </w:r>
    </w:p>
    <w:p>
      <w:pPr>
        <w:pStyle w:val="Normal"/>
        <w:jc w:val="both"/>
        <w:rPr>
          <w:lang w:val="it-IT"/>
        </w:rPr>
      </w:pPr>
      <w:r>
        <w:rPr>
          <w:lang w:val="it-IT"/>
        </w:rPr>
        <w:t>Alla Conferenza dei Sindaci possono partecipare, su espresso invito, i rappresentanti della categoria e/o i tecnici esperti del settore, che esprimono eventualmente pareri propri non vincolanti.</w:t>
      </w:r>
    </w:p>
    <w:p>
      <w:pPr>
        <w:pStyle w:val="Normal"/>
        <w:rPr>
          <w:lang w:val="it-IT"/>
        </w:rPr>
      </w:pPr>
      <w:r>
        <w:rPr>
          <w:lang w:val="it-IT"/>
        </w:rPr>
      </w:r>
    </w:p>
    <w:p>
      <w:pPr>
        <w:pStyle w:val="Normal"/>
        <w:rPr>
          <w:lang w:val="it-IT"/>
        </w:rPr>
      </w:pPr>
      <w:r>
        <w:rPr>
          <w:b/>
          <w:lang w:val="it-IT"/>
        </w:rPr>
        <w:t>ART. 6 - SEDE</w:t>
      </w:r>
    </w:p>
    <w:p>
      <w:pPr>
        <w:pStyle w:val="Normal"/>
        <w:jc w:val="both"/>
        <w:rPr>
          <w:lang w:val="it-IT"/>
        </w:rPr>
      </w:pPr>
      <w:r>
        <w:rPr>
          <w:lang w:val="it-IT"/>
        </w:rPr>
        <w:t>La sede del Giudice di Pace unico ed accorpato di Empoli è individuata in via Raffaello Sanzio n. 123 – Empoli.</w:t>
      </w:r>
    </w:p>
    <w:p>
      <w:pPr>
        <w:pStyle w:val="Normal"/>
        <w:jc w:val="both"/>
        <w:rPr>
          <w:lang w:val="it-IT"/>
        </w:rPr>
      </w:pPr>
      <w:r>
        <w:rPr>
          <w:lang w:val="it-IT"/>
        </w:rPr>
      </w:r>
    </w:p>
    <w:p>
      <w:pPr>
        <w:pStyle w:val="Normal"/>
        <w:rPr>
          <w:lang w:val="it-IT"/>
        </w:rPr>
      </w:pPr>
      <w:r>
        <w:rPr>
          <w:b/>
          <w:lang w:val="it-IT"/>
        </w:rPr>
        <w:t>ART. 7 - ORGANICO ASSEGNATO</w:t>
      </w:r>
    </w:p>
    <w:p>
      <w:pPr>
        <w:pStyle w:val="Normal"/>
        <w:jc w:val="both"/>
        <w:rPr>
          <w:lang w:val="it-IT"/>
        </w:rPr>
      </w:pPr>
      <w:r>
        <w:rPr>
          <w:lang w:val="it-IT"/>
        </w:rPr>
        <w:t>Come previsto dalla circolare del Ministro della Giustizia 12/05/15 il personale da “comandare” presso l’accorpata ed unificata sede del Giudice di Pace di Empoli è di minimo 4 unità (come da tabella in calce riprodotta). I requisiti e il profilo professionale del personale da comandare è stato individuato avendo riguardo alle piante organiche dei soppressi Uffici del Giudice e di Pace di Empoli e Castelfiorentino con un ridimensionamento in ragione dell'accorpamento.</w:t>
      </w:r>
    </w:p>
    <w:p>
      <w:pPr>
        <w:pStyle w:val="Normal"/>
        <w:rPr>
          <w:lang w:val="it-IT"/>
        </w:rPr>
      </w:pPr>
      <w:r>
        <w:rPr>
          <w:lang w:val="it-IT"/>
        </w:rPr>
      </w:r>
    </w:p>
    <w:tbl>
      <w:tblPr>
        <w:tblStyle w:val="Grigliatabella"/>
        <w:tblW w:w="86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20"/>
        <w:gridCol w:w="4319"/>
      </w:tblGrid>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Unità personale</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Tempo</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 unità di personale assegnata dal Comune di Empoli</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 unità di personale comandata del Comune di Vinci</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 unità del personale comandata dal Comune di Fucecchio</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 unità del personale comandata dal Comune di Montespertoli</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 unità di personale assegnata dal Comune di Empoli per Ufficio di Prossimità</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16,67%</w:t>
            </w:r>
          </w:p>
        </w:tc>
      </w:tr>
    </w:tbl>
    <w:p>
      <w:pPr>
        <w:pStyle w:val="Normal"/>
        <w:rPr>
          <w:lang w:val="it-IT"/>
        </w:rPr>
      </w:pPr>
      <w:r>
        <w:rPr>
          <w:lang w:val="it-IT"/>
        </w:rPr>
      </w:r>
    </w:p>
    <w:p>
      <w:pPr>
        <w:pStyle w:val="Normal"/>
        <w:jc w:val="both"/>
        <w:rPr>
          <w:lang w:val="it-IT"/>
        </w:rPr>
      </w:pPr>
      <w:r>
        <w:rPr>
          <w:lang w:val="it-IT"/>
        </w:rPr>
        <w:t>Il personale è formato, gratuitamente, dal Ministero della Giustizia e assegnato all’Ufficio. Deve essere in possesso dei requisiti propri dell’Amministrazione giudiziaria (Art 35 comma 6 Dlgs 165/01) e non trovarsi in condizioni di incompatibilità con lo svolgimento delle funzioni (art 53 Dlgs 165/01). Tale verifica viene effettuata dal Comune di appartenenza al momento del comando, previa validazione da parte dell'Ufficio del Giudice di Pace (Comune di Empoli) prima dell'effettiva presa in servizio.</w:t>
      </w:r>
    </w:p>
    <w:p>
      <w:pPr>
        <w:pStyle w:val="Normal"/>
        <w:jc w:val="both"/>
        <w:rPr>
          <w:lang w:val="it-IT"/>
        </w:rPr>
      </w:pPr>
      <w:r>
        <w:rPr>
          <w:lang w:val="it-IT"/>
        </w:rPr>
        <w:t xml:space="preserve">Il personale proveniente dai Comuni di Empoli, Vinci, Fucecchio e Montespertoli è individuato tra il personale appartenente agli stessi Comuni. Precisano le parti firmatarie che allorquando, per qualsiasi sopravvenuta evenienza, non fosse più possibile il comando di uno o più dipendenti fra quelli sopra generalizzati,  </w:t>
      </w:r>
      <w:r>
        <w:rPr>
          <w:lang w:val="it-IT"/>
        </w:rPr>
        <w:t xml:space="preserve">il comune capofila provvede a convocare senza ritardo la conferenza dei sindaci per </w:t>
      </w:r>
      <w:r>
        <w:rPr>
          <w:lang w:val="it-IT"/>
        </w:rPr>
        <w:t xml:space="preserve">l’individuazione di altra unità di personale avente i medesimi requisiti professionali, da individuarsi tra </w:t>
      </w:r>
      <w:r>
        <w:rPr>
          <w:lang w:val="it-IT"/>
        </w:rPr>
        <w:t>i</w:t>
      </w:r>
      <w:r>
        <w:rPr>
          <w:lang w:val="it-IT"/>
        </w:rPr>
        <w:t xml:space="preserve"> dipendenti del comune che ha revocato il commando o tra gli altri enti aderenti.</w:t>
      </w:r>
    </w:p>
    <w:p>
      <w:pPr>
        <w:pStyle w:val="Normal"/>
        <w:jc w:val="both"/>
        <w:rPr>
          <w:lang w:val="it-IT"/>
        </w:rPr>
      </w:pPr>
      <w:r>
        <w:rPr>
          <w:lang w:val="it-IT"/>
        </w:rPr>
        <w:t>Per garantire la continuità e la corretta funzionalità dell’ufficio, la revoca del comando produrrà effetto soltanto a decorrere dalla data di effettiva presa di servizio del personale individuato in sostituzione.</w:t>
      </w:r>
    </w:p>
    <w:p>
      <w:pPr>
        <w:pStyle w:val="Normal"/>
        <w:rPr>
          <w:lang w:val="it-IT"/>
        </w:rPr>
      </w:pPr>
      <w:r>
        <w:rPr/>
      </w:r>
    </w:p>
    <w:p>
      <w:pPr>
        <w:pStyle w:val="Normal"/>
        <w:rPr>
          <w:lang w:val="it-IT"/>
        </w:rPr>
      </w:pPr>
      <w:r>
        <w:rPr>
          <w:b/>
          <w:lang w:val="it-IT"/>
        </w:rPr>
        <w:t>ART. 8 – ADEGUAMENTO ORGANICO</w:t>
      </w:r>
    </w:p>
    <w:p>
      <w:pPr>
        <w:pStyle w:val="Normal"/>
        <w:jc w:val="both"/>
        <w:rPr>
          <w:lang w:val="it-IT"/>
        </w:rPr>
      </w:pPr>
      <w:r>
        <w:rPr>
          <w:lang w:val="it-IT"/>
        </w:rPr>
        <w:t>La Conferenza dei Sindaci valuta periodicamente con cadenza almeno annuale, le variazioni di organico da apportare all’Ufficio per garantire il buon funzionamento del medesimo in previsione della riforma sull’ampliamento delle competenze civili e penali dei giudici di pace, disposte dall’art. 32 del D.Lgs. 116/2017 e ss. mod.. Gli indirizzi della Conferenza dei Sindaci dovranno essere prontamente recepite dai Comuni firmatari.</w:t>
      </w:r>
    </w:p>
    <w:p>
      <w:pPr>
        <w:pStyle w:val="Normal"/>
        <w:jc w:val="both"/>
        <w:rPr>
          <w:lang w:val="it-IT"/>
        </w:rPr>
      </w:pPr>
      <w:r>
        <w:rPr>
          <w:lang w:val="it-IT"/>
        </w:rPr>
      </w:r>
    </w:p>
    <w:p>
      <w:pPr>
        <w:pStyle w:val="Normal"/>
        <w:rPr>
          <w:lang w:val="it-IT"/>
        </w:rPr>
      </w:pPr>
      <w:r>
        <w:rPr>
          <w:b/>
          <w:lang w:val="it-IT"/>
        </w:rPr>
        <w:t>ART. 9 - RIPARTO DELLE SPESE</w:t>
      </w:r>
    </w:p>
    <w:p>
      <w:pPr>
        <w:pStyle w:val="Normal"/>
        <w:jc w:val="both"/>
        <w:rPr>
          <w:lang w:val="it-IT"/>
        </w:rPr>
      </w:pPr>
      <w:r>
        <w:rPr>
          <w:lang w:val="it-IT"/>
        </w:rPr>
        <w:t>Le spese di funzionamento dell’ufficio e il costo del personale comandato/assegnato, sono ripartiti tra i Comuni convenzionati in proporzione alla popolazione (ultimo dato popolazione al 01/01/2026 tratto da demoistat.it)</w:t>
      </w:r>
    </w:p>
    <w:p>
      <w:pPr>
        <w:pStyle w:val="Normal"/>
        <w:jc w:val="both"/>
        <w:rPr>
          <w:lang w:val="it-IT"/>
        </w:rPr>
      </w:pPr>
      <w:r>
        <w:rPr>
          <w:lang w:val="it-IT"/>
        </w:rPr>
      </w:r>
    </w:p>
    <w:p>
      <w:pPr>
        <w:pStyle w:val="Normal"/>
        <w:rPr>
          <w:lang w:val="it-IT"/>
        </w:rPr>
      </w:pPr>
      <w:r>
        <w:rPr>
          <w:lang w:val="it-IT"/>
        </w:rPr>
        <w:t>Prospetto delle Spese di personale Stimate per Ufficio del Giudice di Pace e Servizi legali accessori</w:t>
      </w:r>
    </w:p>
    <w:tbl>
      <w:tblPr>
        <w:tblStyle w:val="Grigliatabella"/>
        <w:tblW w:w="86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20"/>
        <w:gridCol w:w="4319"/>
      </w:tblGrid>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Spese personale Comune di Empoli (una unità al 100% + una unità al 16,67%)</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59.809,55</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Spese personale Comune di Fucecchio (una unità al 100%)</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33.446,79</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Spese personale Comune di Montespertoli (una unità al 100%)</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33.642,06</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Spese personale Comune di Vinci (una unità al 100%)</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34.856,46</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Totale costo del personale previsto</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161.754,86</w:t>
            </w:r>
          </w:p>
        </w:tc>
      </w:tr>
    </w:tbl>
    <w:p>
      <w:pPr>
        <w:pStyle w:val="Normal"/>
        <w:rPr>
          <w:lang w:val="it-IT"/>
        </w:rPr>
      </w:pPr>
      <w:r>
        <w:rPr>
          <w:lang w:val="it-IT"/>
        </w:rPr>
      </w:r>
    </w:p>
    <w:p>
      <w:pPr>
        <w:pStyle w:val="Normal"/>
        <w:rPr>
          <w:lang w:val="it-IT"/>
        </w:rPr>
      </w:pPr>
      <w:r>
        <w:rPr>
          <w:lang w:val="it-IT"/>
        </w:rPr>
        <w:t>Prospetto delle Spese Stimate per il Funzionamento del Giudice di Pace e Servizi legali accessori</w:t>
      </w:r>
    </w:p>
    <w:tbl>
      <w:tblPr>
        <w:tblStyle w:val="Grigliatabella"/>
        <w:tblW w:w="86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20"/>
        <w:gridCol w:w="4319"/>
      </w:tblGrid>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Voce di Spesa</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Importo Stimato (€)</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Utenze Telefoniche</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1.100,00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Energia</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9.000,00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Gas</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14.000,00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Acqua</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1.100,00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Rifiuti</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1.000,00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Vigilanza</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400,00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Spese manutenzioni: impianto allarme, impianti elettrici, termici e altro</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8.000,00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Pulizie ordinarie</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16.000,00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Noleggio stampanti multifunzione - costo annuale</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1.500,00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Cancelleria e stampati</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700,00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Spese varie</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3.000,00</w:t>
            </w:r>
          </w:p>
        </w:tc>
      </w:tr>
      <w:tr>
        <w:trPr/>
        <w:tc>
          <w:tcPr>
            <w:tcW w:w="43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TOTALE</w:t>
            </w:r>
          </w:p>
        </w:tc>
        <w:tc>
          <w:tcPr>
            <w:tcW w:w="4319"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55.800</w:t>
            </w:r>
          </w:p>
        </w:tc>
      </w:tr>
    </w:tbl>
    <w:p>
      <w:pPr>
        <w:pStyle w:val="Normal"/>
        <w:rPr>
          <w:lang w:val="it-IT"/>
        </w:rPr>
      </w:pPr>
      <w:r>
        <w:rPr>
          <w:lang w:val="it-IT"/>
        </w:rPr>
      </w:r>
    </w:p>
    <w:p>
      <w:pPr>
        <w:pStyle w:val="Normal"/>
        <w:rPr>
          <w:lang w:val="it-IT"/>
        </w:rPr>
      </w:pPr>
      <w:r>
        <w:rPr>
          <w:b/>
          <w:lang w:val="it-IT"/>
        </w:rPr>
        <w:t>(Nota: Il suddetto prospetto delle spese stimate deriva dai dati storici di spesa dell'Ufficio e dalle valutazioni elaborate dai competenti uffici tecnici e contabili dell'Ente Capofila).</w:t>
      </w:r>
    </w:p>
    <w:p>
      <w:pPr>
        <w:pStyle w:val="Normal"/>
        <w:rPr>
          <w:lang w:val="it-IT"/>
        </w:rPr>
      </w:pPr>
      <w:r>
        <w:rPr>
          <w:lang w:val="it-IT"/>
        </w:rPr>
      </w:r>
    </w:p>
    <w:p>
      <w:pPr>
        <w:pStyle w:val="Normal"/>
        <w:rPr>
          <w:lang w:val="it-IT"/>
        </w:rPr>
      </w:pPr>
      <w:r>
        <w:rPr>
          <w:lang w:val="it-IT"/>
        </w:rPr>
        <w:t>Riparto spese tra i Comuni in proporzione alla popolazione:</w:t>
      </w:r>
    </w:p>
    <w:tbl>
      <w:tblPr>
        <w:tblStyle w:val="Grigliatabella"/>
        <w:tblW w:w="885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725"/>
        <w:gridCol w:w="1433"/>
        <w:gridCol w:w="1417"/>
        <w:gridCol w:w="1430"/>
        <w:gridCol w:w="1420"/>
        <w:gridCol w:w="1430"/>
      </w:tblGrid>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Comune</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Popolazione</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Quota %</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Costo Personale (€)</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Spese Generali (€)</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Spesa Totale (€)</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Empoli</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49.526</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28,39%</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45.915,30</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15.839,24</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61.754,53</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Fucecchio</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22.919</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13,14%</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21.248,09</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7.329,88</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28.577,96</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Castelfiorentino</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17.488</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10,02%</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16.213,03</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5.592,95</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21.805,99</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Certaldo</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15.731</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9,02%</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14.584,13</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5.031,03</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19.615,16</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Vinci</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14.574</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8,35%</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13.511,48</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4.661,01</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18.172,49</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Montelupo Fiorentino</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14.272</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8,18%</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13.231,50</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4.564,42</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17.795,92</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Montespertoli</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13.197</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7,56%</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12.234,87</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4.220,62</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16.455,49</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Cerreto Guidi</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10.659</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6,11%</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9.881,90</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3.408,93</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13.290,83</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Capraia e Limite</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7.804</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4,47%</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7.235,05</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2.495,85</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9.730,90</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Gambassi Terme</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4.872</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2,79%</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4.516,81</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1.558,15</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6.074,95</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Montaione</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3.433</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1,97%</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3.182,72</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1.097,93</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4.280,65</w:t>
            </w:r>
          </w:p>
        </w:tc>
      </w:tr>
      <w:tr>
        <w:trPr/>
        <w:tc>
          <w:tcPr>
            <w:tcW w:w="1725"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Totale</w:t>
            </w:r>
          </w:p>
        </w:tc>
        <w:tc>
          <w:tcPr>
            <w:tcW w:w="1433"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174.475</w:t>
            </w:r>
          </w:p>
        </w:tc>
        <w:tc>
          <w:tcPr>
            <w:tcW w:w="1417"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100,00%</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161.754,86</w:t>
            </w:r>
          </w:p>
        </w:tc>
        <w:tc>
          <w:tcPr>
            <w:tcW w:w="142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55.800,00</w:t>
            </w:r>
          </w:p>
        </w:tc>
        <w:tc>
          <w:tcPr>
            <w:tcW w:w="1430" w:type="dxa"/>
            <w:tcBorders/>
          </w:tcPr>
          <w:p>
            <w:pPr>
              <w:pStyle w:val="Normal"/>
              <w:widowControl/>
              <w:suppressAutoHyphens w:val="true"/>
              <w:spacing w:lineRule="auto" w:line="240" w:before="0" w:after="0"/>
              <w:jc w:val="left"/>
              <w:rPr>
                <w:rFonts w:ascii="Cambria" w:hAnsi="Cambria" w:eastAsia="MS Mincho"/>
                <w:lang w:val="it-IT"/>
              </w:rPr>
            </w:pPr>
            <w:r>
              <w:rPr>
                <w:rFonts w:eastAsia="MS Mincho" w:cs=""/>
                <w:kern w:val="0"/>
                <w:sz w:val="22"/>
                <w:szCs w:val="22"/>
                <w:lang w:val="it-IT" w:eastAsia="en-US" w:bidi="ar-SA"/>
              </w:rPr>
              <w:t xml:space="preserve">€ </w:t>
            </w:r>
            <w:r>
              <w:rPr>
                <w:rFonts w:eastAsia="MS Mincho" w:cs=""/>
                <w:kern w:val="0"/>
                <w:sz w:val="22"/>
                <w:szCs w:val="22"/>
                <w:lang w:val="it-IT" w:eastAsia="en-US" w:bidi="ar-SA"/>
              </w:rPr>
              <w:t>217.554,86</w:t>
            </w:r>
          </w:p>
        </w:tc>
      </w:tr>
    </w:tbl>
    <w:p>
      <w:pPr>
        <w:pStyle w:val="Normal"/>
        <w:rPr>
          <w:lang w:val="it-IT"/>
        </w:rPr>
      </w:pPr>
      <w:r>
        <w:rPr>
          <w:lang w:val="it-IT"/>
        </w:rPr>
      </w:r>
    </w:p>
    <w:p>
      <w:pPr>
        <w:pStyle w:val="Normal"/>
        <w:jc w:val="both"/>
        <w:rPr>
          <w:lang w:val="it-IT"/>
        </w:rPr>
      </w:pPr>
      <w:r>
        <w:rPr>
          <w:lang w:val="it-IT"/>
        </w:rPr>
        <w:t>Dal riparto delle spese di cui al presente articolo sono esclusi gli oneri di locazione dell’immobile adibito a sede dell’ufficio associato, stimati in € 66.900,00 annui, in quanto posti integralmente a carico del Comune di Empoli che lo mette a disposizione senza richiedere alcun onere. Resta inteso che la manutenzione ordinaria dell'immobile rientra tra le spese di funzionamento ripartite tra gli Enti, mentre la manutenzione straordinaria resta ad esclusivo carico del Comune di Empoli in qualità di proprietario/titolare dell'immobile.</w:t>
      </w:r>
    </w:p>
    <w:p>
      <w:pPr>
        <w:pStyle w:val="Normal"/>
        <w:jc w:val="both"/>
        <w:rPr>
          <w:lang w:val="it-IT"/>
        </w:rPr>
      </w:pPr>
      <w:r>
        <w:rPr>
          <w:lang w:val="it-IT"/>
        </w:rPr>
        <w:t>Entro il 30 settembre di ciascun anno, il Comune Capofila provvede a trasmettere alle Amministrazioni convenzionate il prospetto di calcolo previsionale degli oneri a carico di ciascun Ente per l'esercizio finanziario successivo.</w:t>
      </w:r>
    </w:p>
    <w:p>
      <w:pPr>
        <w:pStyle w:val="Normal"/>
        <w:jc w:val="both"/>
        <w:rPr>
          <w:lang w:val="it-IT"/>
        </w:rPr>
      </w:pPr>
      <w:r>
        <w:rPr>
          <w:lang w:val="it-IT"/>
        </w:rPr>
        <w:t>Il rendiconto consuntivo è comunicato dal Comune Capofila entro il 30 aprile dell'anno successivo. Gli Enti aderenti provvedono al trasferimento della propria quota di compartecipazione mediante versamento alla Tesoreria del Comune Capofila entro il successivo 30 giugno, al fine di garantire la regolarità dei flussi contabili e la continuità del servizio. Qualora il costo effettivo sostenuto da un Comune convenzionato per il proprio personale in comando risulti superiore alla quota di compartecipazione complessiva a suo carico (come risultante dal prospetto di ripartizione), l'Ente Capofila provvederà a rimborsare a tale Comune la differenza a credito, contestualmente alle tempistiche previste per le regolazioni contabili annuali.</w:t>
      </w:r>
    </w:p>
    <w:p>
      <w:pPr>
        <w:pStyle w:val="Normal"/>
        <w:rPr>
          <w:lang w:val="it-IT"/>
        </w:rPr>
      </w:pPr>
      <w:r>
        <w:rPr>
          <w:lang w:val="it-IT"/>
        </w:rPr>
      </w:r>
    </w:p>
    <w:p>
      <w:pPr>
        <w:pStyle w:val="Normal"/>
        <w:rPr>
          <w:lang w:val="it-IT"/>
        </w:rPr>
      </w:pPr>
      <w:r>
        <w:rPr>
          <w:b/>
          <w:lang w:val="it-IT"/>
        </w:rPr>
        <w:t>ART. 10 - RECESSO</w:t>
      </w:r>
    </w:p>
    <w:p>
      <w:pPr>
        <w:pStyle w:val="Normal"/>
        <w:jc w:val="both"/>
        <w:rPr>
          <w:lang w:val="it-IT"/>
        </w:rPr>
      </w:pPr>
      <w:r>
        <w:rPr>
          <w:lang w:val="it-IT"/>
        </w:rPr>
        <w:t>E’ riconosciuta a ciascun Comune firmatario la facoltà di recedere anticipatamente da questa convenzione. Il recesso dovrà essere deliberato dal Consiglio Comunale. La deliberazione di recesso, esecutiva, dovrà essere inoltrata alla Segreteria Generale del Comune di Empoli. Il recesso produrrà effetti (anche per quanto riguarda la partecipazione alle spese) decorsi 8 mesi dal suo ricevimento da parte della sopra menzionata Segreteria (tale termine temporale è reso necessario al fine di consentire all'Ente Capofila e agli altri Comuni associati la corretta riprogrammazione dei servizi, l'adeguata riorganizzazione del personale e i necessari adeguamenti formali dei bilanci di previsione). Il Segretario Generale del Comune di Empoli provvederà a dare pronta comunicazione del recesso alla Conferenza dei Sindaci, alla Presidenza del Tribunale di Firenze e al Comune Capofila. Il Comune Capofila provvede ridefinire le quote di compartecipazione alle spese di gestione a seguito del recesso.</w:t>
      </w:r>
    </w:p>
    <w:p>
      <w:pPr>
        <w:pStyle w:val="Normal"/>
        <w:jc w:val="both"/>
        <w:rPr>
          <w:lang w:val="it-IT"/>
        </w:rPr>
      </w:pPr>
      <w:r>
        <w:rPr>
          <w:lang w:val="it-IT"/>
        </w:rPr>
      </w:r>
    </w:p>
    <w:p>
      <w:pPr>
        <w:pStyle w:val="Normal"/>
        <w:rPr>
          <w:lang w:val="it-IT"/>
        </w:rPr>
      </w:pPr>
      <w:r>
        <w:rPr>
          <w:b/>
          <w:lang w:val="it-IT"/>
        </w:rPr>
        <w:t>ART. 11 - SCIOGLIMENTO PER MUTUO CONSENSO</w:t>
      </w:r>
    </w:p>
    <w:p>
      <w:pPr>
        <w:pStyle w:val="Normal"/>
        <w:jc w:val="both"/>
        <w:rPr>
          <w:lang w:val="it-IT"/>
        </w:rPr>
      </w:pPr>
      <w:r>
        <w:rPr>
          <w:lang w:val="it-IT"/>
        </w:rPr>
        <w:t>Prima della scadenza naturale, questa convenzione, potrà essere sciolta per mutuo consenso (consenso allo scioglimento) espresso dai Comuni firmatari in seno ai propri organi consiliari. Lo scioglimento produrrà i propri effetti, salvo diversa disposizione, decorso un anno dalla data in cui sarà divenuta esecutiva la delibera dell'ultimo Ente deliberante.</w:t>
      </w:r>
    </w:p>
    <w:p>
      <w:pPr>
        <w:pStyle w:val="Normal"/>
        <w:jc w:val="both"/>
        <w:rPr>
          <w:lang w:val="it-IT"/>
        </w:rPr>
      </w:pPr>
      <w:r>
        <w:rPr>
          <w:lang w:val="it-IT"/>
        </w:rPr>
      </w:r>
    </w:p>
    <w:p>
      <w:pPr>
        <w:pStyle w:val="Normal"/>
        <w:rPr>
          <w:lang w:val="it-IT"/>
        </w:rPr>
      </w:pPr>
      <w:r>
        <w:rPr>
          <w:b/>
          <w:lang w:val="it-IT"/>
        </w:rPr>
        <w:t>ART. 12 - CONTROVERSIE</w:t>
      </w:r>
    </w:p>
    <w:p>
      <w:pPr>
        <w:pStyle w:val="Normal"/>
        <w:jc w:val="both"/>
        <w:rPr>
          <w:lang w:val="it-IT"/>
        </w:rPr>
      </w:pPr>
      <w:r>
        <w:rPr>
          <w:lang w:val="it-IT"/>
        </w:rPr>
        <w:t>Ogni controversia relativa alla validità, interpretazione, o applicazione/esecuzione, di questa convenzione sarà in prima istanza affrontata all’interno della Conferenza dei Sindaci. Fallito il tentativo di conciliazione in seno alla Conferenza dei Sindaci dovrà essere adita la competente autorità giudiziaria.</w:t>
      </w:r>
    </w:p>
    <w:p>
      <w:pPr>
        <w:pStyle w:val="Normal"/>
        <w:jc w:val="both"/>
        <w:rPr>
          <w:lang w:val="it-IT"/>
        </w:rPr>
      </w:pPr>
      <w:r>
        <w:rPr>
          <w:lang w:val="it-IT"/>
        </w:rPr>
      </w:r>
    </w:p>
    <w:p>
      <w:pPr>
        <w:pStyle w:val="Normal"/>
        <w:rPr>
          <w:lang w:val="it-IT"/>
        </w:rPr>
      </w:pPr>
      <w:r>
        <w:rPr>
          <w:b/>
          <w:lang w:val="it-IT"/>
        </w:rPr>
        <w:t>ART 13 - SOTTOSCRIZIONE E CONSERVAZIONE DELLA CONVENZIONE</w:t>
      </w:r>
    </w:p>
    <w:p>
      <w:pPr>
        <w:pStyle w:val="Normal"/>
        <w:jc w:val="both"/>
        <w:rPr>
          <w:lang w:val="it-IT"/>
        </w:rPr>
      </w:pPr>
      <w:r>
        <w:rPr>
          <w:lang w:val="it-IT"/>
        </w:rPr>
        <w:t>La presente convenzione viene sottoscritta con firma digitale. L’atto sarà repertoriato a cura del Comune di Empoli. L’originale informatico del documento sarà conservato, secondo la normativa vigente, sul server del Comune di Empoli. Ai fini di attribuire a questa convenzione data certa viene apposta la marca temporale.</w:t>
      </w:r>
    </w:p>
    <w:p>
      <w:pPr>
        <w:pStyle w:val="Normal"/>
        <w:jc w:val="both"/>
        <w:rPr>
          <w:lang w:val="it-IT"/>
        </w:rPr>
      </w:pPr>
      <w:r>
        <w:rPr>
          <w:lang w:val="it-IT"/>
        </w:rPr>
      </w:r>
    </w:p>
    <w:p>
      <w:pPr>
        <w:pStyle w:val="Normal"/>
        <w:rPr>
          <w:lang w:val="it-IT"/>
        </w:rPr>
      </w:pPr>
      <w:r>
        <w:rPr>
          <w:b/>
          <w:lang w:val="it-IT"/>
        </w:rPr>
        <w:t>ART 14 - IMPOSTA DI BOLLO E DI REGISTRO</w:t>
      </w:r>
    </w:p>
    <w:p>
      <w:pPr>
        <w:pStyle w:val="Normal"/>
        <w:jc w:val="both"/>
        <w:rPr>
          <w:lang w:val="it-IT"/>
        </w:rPr>
      </w:pPr>
      <w:r>
        <w:rPr>
          <w:lang w:val="it-IT"/>
        </w:rPr>
        <w:t>Trattandosi di convezione sottoscritta fra Enti pubblici Territoriali non trova applicazione l’imposta di bollo (DPR 642/72 - Allegato B – art 16).</w:t>
      </w:r>
    </w:p>
    <w:p>
      <w:pPr>
        <w:pStyle w:val="Normal"/>
        <w:jc w:val="both"/>
        <w:rPr>
          <w:lang w:val="it-IT"/>
        </w:rPr>
      </w:pPr>
      <w:r>
        <w:rPr>
          <w:lang w:val="it-IT"/>
        </w:rPr>
        <w:t>Esente da registrazione in quanto atto per il quale non vi e obbligo ai sensi della Tabella art. 1 D.P.R. 131/86.</w:t>
      </w:r>
    </w:p>
    <w:p>
      <w:pPr>
        <w:pStyle w:val="Normal"/>
        <w:jc w:val="both"/>
        <w:rPr>
          <w:lang w:val="it-IT"/>
        </w:rPr>
      </w:pPr>
      <w:r>
        <w:rPr>
          <w:lang w:val="it-IT"/>
        </w:rPr>
        <w:t>Il Presente atto, formato e stipulato in modalità elettronica, conformemente al disposto degli articoli 20 e 21 del D. Lgs.85/2005. È stato scritto mediante l’uso ed il controllo degli strumenti informatici su n°___________pagine a video, escluse le firme.</w:t>
      </w:r>
    </w:p>
    <w:p>
      <w:pPr>
        <w:pStyle w:val="Normal"/>
        <w:jc w:val="both"/>
        <w:rPr>
          <w:lang w:val="it-IT"/>
        </w:rPr>
      </w:pPr>
      <w:r>
        <w:rPr>
          <w:lang w:val="it-IT"/>
        </w:rPr>
        <w:t>Le parti, riconosciuto il documento conforme alla loro volontà, lo sottoscrivano con firma digitale ai sensi dell’art. 1 comma 1 lettera s) e degli artt. 21 e 28 del D.Lgs. 82/2005. I certificati di firma utilizzati dalle parti sono validi e conformi all’art. 1 del D.Lgs. 82/2005</w:t>
      </w:r>
    </w:p>
    <w:p>
      <w:pPr>
        <w:pStyle w:val="Normal"/>
        <w:jc w:val="both"/>
        <w:rPr>
          <w:lang w:val="it-IT"/>
        </w:rPr>
      </w:pPr>
      <w:r>
        <w:rPr>
          <w:lang w:val="it-IT"/>
        </w:rPr>
        <w:t>Il presente atto costituisce documento informatico, ai sensi dell’art. 20 del D.Lgs. 82/2005 e sullo stesso viene apposto la marcatura temporale.</w:t>
      </w:r>
    </w:p>
    <w:p>
      <w:pPr>
        <w:pStyle w:val="Normal"/>
        <w:jc w:val="both"/>
        <w:rPr>
          <w:lang w:val="it-IT"/>
        </w:rPr>
      </w:pPr>
      <w:r>
        <w:rPr>
          <w:lang w:val="it-IT"/>
        </w:rPr>
      </w:r>
    </w:p>
    <w:p>
      <w:pPr>
        <w:pStyle w:val="Normal"/>
        <w:rPr>
          <w:lang w:val="it-IT"/>
        </w:rPr>
      </w:pPr>
      <w:r>
        <w:rPr>
          <w:lang w:val="it-IT"/>
        </w:rPr>
        <w:t>Letto, approvato e sottoscritto digitalmente.</w:t>
      </w:r>
    </w:p>
    <w:p>
      <w:pPr>
        <w:pStyle w:val="Normal"/>
        <w:rPr>
          <w:lang w:val="it-IT"/>
        </w:rPr>
      </w:pPr>
      <w:r>
        <w:rPr>
          <w:lang w:val="it-IT"/>
        </w:rPr>
      </w:r>
    </w:p>
    <w:p>
      <w:pPr>
        <w:pStyle w:val="Normal"/>
        <w:rPr>
          <w:lang w:val="it-IT"/>
        </w:rPr>
      </w:pPr>
      <w:r>
        <w:rPr>
          <w:lang w:val="it-IT"/>
        </w:rPr>
        <w:t>Per il Comune di Capraia e Limite</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Castelfiorentino</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Cerreto Guidi</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Certaldo</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Fucecchio</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Gambassi Terme</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Motaione</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Montelupo Fiorentino</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Montespertoli</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Vinci</w:t>
      </w:r>
    </w:p>
    <w:p>
      <w:pPr>
        <w:pStyle w:val="Normal"/>
        <w:rPr>
          <w:lang w:val="it-IT"/>
        </w:rPr>
      </w:pPr>
      <w:r>
        <w:rPr>
          <w:lang w:val="it-IT"/>
        </w:rPr>
        <w:t>Il Sindaco Pro tempore___________________</w:t>
      </w:r>
    </w:p>
    <w:p>
      <w:pPr>
        <w:pStyle w:val="Normal"/>
        <w:rPr>
          <w:lang w:val="it-IT"/>
        </w:rPr>
      </w:pPr>
      <w:r>
        <w:rPr>
          <w:lang w:val="it-IT"/>
        </w:rPr>
        <w:t>(firmato digitalmente)</w:t>
      </w:r>
    </w:p>
    <w:p>
      <w:pPr>
        <w:pStyle w:val="Normal"/>
        <w:rPr>
          <w:lang w:val="it-IT"/>
        </w:rPr>
      </w:pPr>
      <w:r>
        <w:rPr>
          <w:lang w:val="it-IT"/>
        </w:rPr>
      </w:r>
    </w:p>
    <w:p>
      <w:pPr>
        <w:pStyle w:val="Normal"/>
        <w:rPr>
          <w:lang w:val="it-IT"/>
        </w:rPr>
      </w:pPr>
      <w:r>
        <w:rPr>
          <w:lang w:val="it-IT"/>
        </w:rPr>
        <w:t>Per il Comune di Empoli</w:t>
      </w:r>
    </w:p>
    <w:p>
      <w:pPr>
        <w:pStyle w:val="Normal"/>
        <w:rPr>
          <w:lang w:val="it-IT"/>
        </w:rPr>
      </w:pPr>
      <w:r>
        <w:rPr>
          <w:lang w:val="it-IT"/>
        </w:rPr>
        <w:t>Il Sindaco Pro tempore___________________</w:t>
      </w:r>
    </w:p>
    <w:p>
      <w:pPr>
        <w:pStyle w:val="Normal"/>
        <w:spacing w:before="0" w:after="200"/>
        <w:rPr>
          <w:lang w:val="it-IT"/>
        </w:rPr>
      </w:pPr>
      <w:r>
        <w:rPr>
          <w:lang w:val="it-IT"/>
        </w:rPr>
        <w:t>(firmato digitalmente)</w:t>
      </w:r>
    </w:p>
    <w:sectPr>
      <w:type w:val="nextPage"/>
      <w:pgSz w:w="12240" w:h="15840"/>
      <w:pgMar w:left="1800" w:right="1800" w:gutter="0" w:header="0" w:top="1440" w:footer="0" w:bottom="144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roman"/>
    <w:pitch w:val="variable"/>
  </w:font>
  <w:font w:name="Courier">
    <w:altName w:val="Courier New"/>
    <w:charset w:val="00"/>
    <w:family w:val="auto"/>
    <w:pitch w:val="variable"/>
  </w:font>
  <w:font w:name="Segoe UI">
    <w:charset w:val="00"/>
    <w:family w:val="swiss"/>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1080"/>
        </w:tabs>
        <w:ind w:left="108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c693f"/>
    <w:pPr>
      <w:widowControl/>
      <w:suppressAutoHyphens w:val="true"/>
      <w:bidi w:val="0"/>
      <w:spacing w:lineRule="auto" w:line="276" w:before="0" w:after="200"/>
      <w:jc w:val="lef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Heading1">
    <w:name w:val="heading 1"/>
    <w:basedOn w:val="Normal"/>
    <w:next w:val="Normal"/>
    <w:link w:val="Titolo1Carattere"/>
    <w:uiPriority w:val="9"/>
    <w:qFormat/>
    <w:rsid w:val="00fc693f"/>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itolo2Carattere"/>
    <w:uiPriority w:val="9"/>
    <w:unhideWhenUsed/>
    <w:qFormat/>
    <w:rsid w:val="00fc693f"/>
    <w:pPr>
      <w:keepNext w:val="true"/>
      <w:keepLines/>
      <w:spacing w:before="200" w:after="0"/>
      <w:outlineLvl w:val="1"/>
    </w:pPr>
    <w:rPr>
      <w:rFonts w:ascii="Calibri" w:hAnsi="Calibri" w:eastAsia=""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Titolo3Carattere"/>
    <w:uiPriority w:val="9"/>
    <w:unhideWhenUsed/>
    <w:qFormat/>
    <w:rsid w:val="00fc693f"/>
    <w:pPr>
      <w:keepNext w:val="true"/>
      <w:keepLines/>
      <w:spacing w:before="200" w:after="0"/>
      <w:outlineLvl w:val="2"/>
    </w:pPr>
    <w:rPr>
      <w:rFonts w:ascii="Calibri" w:hAnsi="Calibri" w:eastAsia="" w:cs="" w:asciiTheme="majorHAnsi" w:cstheme="majorBidi" w:eastAsiaTheme="majorEastAsia" w:hAnsiTheme="majorHAnsi"/>
      <w:b/>
      <w:bCs/>
      <w:color w:themeColor="accent1" w:val="4F81BD"/>
    </w:rPr>
  </w:style>
  <w:style w:type="paragraph" w:styleId="Heading4">
    <w:name w:val="heading 4"/>
    <w:basedOn w:val="Normal"/>
    <w:next w:val="Normal"/>
    <w:link w:val="Titolo4Carattere"/>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themeColor="accent1" w:val="4F81BD"/>
    </w:rPr>
  </w:style>
  <w:style w:type="paragraph" w:styleId="Heading5">
    <w:name w:val="heading 5"/>
    <w:basedOn w:val="Normal"/>
    <w:next w:val="Normal"/>
    <w:link w:val="Titolo5Carattere"/>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themeColor="accent1" w:themeShade="7f" w:val="243F60"/>
    </w:rPr>
  </w:style>
  <w:style w:type="paragraph" w:styleId="Heading6">
    <w:name w:val="heading 6"/>
    <w:basedOn w:val="Normal"/>
    <w:next w:val="Normal"/>
    <w:link w:val="Titolo6Carattere"/>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themeColor="accent1" w:themeShade="7f" w:val="243F60"/>
    </w:rPr>
  </w:style>
  <w:style w:type="paragraph" w:styleId="Heading7">
    <w:name w:val="heading 7"/>
    <w:basedOn w:val="Normal"/>
    <w:next w:val="Normal"/>
    <w:link w:val="Titolo7Carattere"/>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themeColor="text1" w:themeTint="bf" w:val="404040"/>
    </w:rPr>
  </w:style>
  <w:style w:type="paragraph" w:styleId="Heading8">
    <w:name w:val="heading 8"/>
    <w:basedOn w:val="Normal"/>
    <w:next w:val="Normal"/>
    <w:link w:val="Titolo8Carattere"/>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themeColor="accent1" w:val="4F81BD"/>
      <w:sz w:val="20"/>
      <w:szCs w:val="20"/>
    </w:rPr>
  </w:style>
  <w:style w:type="paragraph" w:styleId="Heading9">
    <w:name w:val="heading 9"/>
    <w:basedOn w:val="Normal"/>
    <w:next w:val="Normal"/>
    <w:link w:val="Titolo9Carattere"/>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themeColor="text1" w:themeTint="bf" w:val="404040"/>
      <w:sz w:val="20"/>
      <w:szCs w:val="20"/>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uiPriority w:val="99"/>
    <w:qFormat/>
    <w:rsid w:val="00e618bf"/>
    <w:rPr/>
  </w:style>
  <w:style w:type="character" w:styleId="PidipaginaCarattere" w:customStyle="1">
    <w:name w:val="Piè di pagina Carattere"/>
    <w:basedOn w:val="DefaultParagraphFont"/>
    <w:uiPriority w:val="99"/>
    <w:qFormat/>
    <w:rsid w:val="00e618bf"/>
    <w:rPr/>
  </w:style>
  <w:style w:type="character" w:styleId="Titolo1Carattere" w:customStyle="1">
    <w:name w:val="Titolo 1 Carattere"/>
    <w:basedOn w:val="DefaultParagraphFont"/>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Titolo2Carattere" w:customStyle="1">
    <w:name w:val="Titolo 2 Carattere"/>
    <w:basedOn w:val="DefaultParagraphFont"/>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Titolo3Carattere" w:customStyle="1">
    <w:name w:val="Titolo 3 Carattere"/>
    <w:basedOn w:val="DefaultParagraphFont"/>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oloCarattere" w:customStyle="1">
    <w:name w:val="Titolo Carattere"/>
    <w:basedOn w:val="DefaultParagraphFont"/>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ottotitoloCarattere" w:customStyle="1">
    <w:name w:val="Sottotitolo Carattere"/>
    <w:basedOn w:val="DefaultParagraphFont"/>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CorpotestoCarattere" w:customStyle="1">
    <w:name w:val="Corpo testo Carattere"/>
    <w:basedOn w:val="DefaultParagraphFont"/>
    <w:uiPriority w:val="99"/>
    <w:qFormat/>
    <w:rsid w:val="00aa1d8d"/>
    <w:rPr/>
  </w:style>
  <w:style w:type="character" w:styleId="Corpodeltesto2Carattere" w:customStyle="1">
    <w:name w:val="Corpo del testo 2 Carattere"/>
    <w:basedOn w:val="DefaultParagraphFont"/>
    <w:link w:val="BodyText2"/>
    <w:uiPriority w:val="99"/>
    <w:qFormat/>
    <w:rsid w:val="00aa1d8d"/>
    <w:rPr/>
  </w:style>
  <w:style w:type="character" w:styleId="Corpodeltesto3Carattere" w:customStyle="1">
    <w:name w:val="Corpo del testo 3 Carattere"/>
    <w:basedOn w:val="DefaultParagraphFont"/>
    <w:link w:val="BodyText3"/>
    <w:uiPriority w:val="99"/>
    <w:qFormat/>
    <w:rsid w:val="00aa1d8d"/>
    <w:rPr>
      <w:sz w:val="16"/>
      <w:szCs w:val="16"/>
    </w:rPr>
  </w:style>
  <w:style w:type="character" w:styleId="TestomacroCarattere" w:customStyle="1">
    <w:name w:val="Testo macro Carattere"/>
    <w:basedOn w:val="DefaultParagraphFont"/>
    <w:link w:val="MacroText"/>
    <w:uiPriority w:val="99"/>
    <w:qFormat/>
    <w:rsid w:val="0029639d"/>
    <w:rPr>
      <w:rFonts w:ascii="Courier" w:hAnsi="Courier"/>
      <w:sz w:val="20"/>
      <w:szCs w:val="20"/>
    </w:rPr>
  </w:style>
  <w:style w:type="character" w:styleId="CitazioneCarattere" w:customStyle="1">
    <w:name w:val="Citazione Carattere"/>
    <w:basedOn w:val="DefaultParagraphFont"/>
    <w:link w:val="Quote"/>
    <w:uiPriority w:val="29"/>
    <w:qFormat/>
    <w:rsid w:val="00fc693f"/>
    <w:rPr>
      <w:i/>
      <w:iCs/>
      <w:color w:themeColor="text1" w:val="000000"/>
    </w:rPr>
  </w:style>
  <w:style w:type="character" w:styleId="Titolo4Carattere" w:customStyle="1">
    <w:name w:val="Titolo 4 Carattere"/>
    <w:basedOn w:val="DefaultParagraphFont"/>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Titolo5Carattere" w:customStyle="1">
    <w:name w:val="Titolo 5 Carattere"/>
    <w:basedOn w:val="DefaultParagraphFont"/>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Titolo6Carattere" w:customStyle="1">
    <w:name w:val="Titolo 6 Carattere"/>
    <w:basedOn w:val="DefaultParagraphFont"/>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Titolo7Carattere" w:customStyle="1">
    <w:name w:val="Titolo 7 Carattere"/>
    <w:basedOn w:val="DefaultParagraphFont"/>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Titolo8Carattere" w:customStyle="1">
    <w:name w:val="Titolo 8 Carattere"/>
    <w:basedOn w:val="DefaultParagraphFont"/>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Titolo9Carattere" w:customStyle="1">
    <w:name w:val="Titolo 9 Carattere"/>
    <w:basedOn w:val="DefaultParagraphFont"/>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CitazioneintensaCarattere" w:customStyle="1">
    <w:name w:val="Citazione intensa Carattere"/>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CommentReference">
    <w:name w:val="annotation reference"/>
    <w:basedOn w:val="DefaultParagraphFont"/>
    <w:uiPriority w:val="99"/>
    <w:semiHidden/>
    <w:unhideWhenUsed/>
    <w:qFormat/>
    <w:rsid w:val="004033ac"/>
    <w:rPr>
      <w:sz w:val="16"/>
      <w:szCs w:val="16"/>
    </w:rPr>
  </w:style>
  <w:style w:type="character" w:styleId="TestocommentoCarattere" w:customStyle="1">
    <w:name w:val="Testo commento Carattere"/>
    <w:basedOn w:val="DefaultParagraphFont"/>
    <w:uiPriority w:val="99"/>
    <w:semiHidden/>
    <w:qFormat/>
    <w:rsid w:val="004033ac"/>
    <w:rPr>
      <w:sz w:val="20"/>
      <w:szCs w:val="20"/>
    </w:rPr>
  </w:style>
  <w:style w:type="character" w:styleId="SoggettocommentoCarattere" w:customStyle="1">
    <w:name w:val="Soggetto commento Carattere"/>
    <w:basedOn w:val="TestocommentoCarattere"/>
    <w:link w:val="annotationsubject"/>
    <w:uiPriority w:val="99"/>
    <w:semiHidden/>
    <w:qFormat/>
    <w:rsid w:val="004033ac"/>
    <w:rPr>
      <w:b/>
      <w:bCs/>
      <w:sz w:val="20"/>
      <w:szCs w:val="20"/>
    </w:rPr>
  </w:style>
  <w:style w:type="character" w:styleId="TestofumettoCarattere" w:customStyle="1">
    <w:name w:val="Testo fumetto Carattere"/>
    <w:basedOn w:val="DefaultParagraphFont"/>
    <w:link w:val="BalloonText"/>
    <w:uiPriority w:val="99"/>
    <w:semiHidden/>
    <w:qFormat/>
    <w:rsid w:val="004033ac"/>
    <w:rPr>
      <w:rFonts w:ascii="Segoe UI" w:hAnsi="Segoe UI" w:cs="Segoe UI"/>
      <w:sz w:val="18"/>
      <w:szCs w:val="18"/>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testoCarattere"/>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lef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ice" w:customStyle="1">
    <w:name w:val="Indice"/>
    <w:basedOn w:val="Normal"/>
    <w:qFormat/>
    <w:pPr>
      <w:suppressLineNumbers/>
    </w:pPr>
    <w:rPr>
      <w:rFonts w:cs="Arial"/>
    </w:rPr>
  </w:style>
  <w:style w:type="paragraph" w:styleId="Title">
    <w:name w:val="Title"/>
    <w:basedOn w:val="Normal"/>
    <w:next w:val="BodyText"/>
    <w:link w:val="TitoloCarattere"/>
    <w:uiPriority w:val="10"/>
    <w:qFormat/>
    <w:rsid w:val="00fc693f"/>
    <w:pPr>
      <w:pBdr>
        <w:bottom w:val="single" w:sz="8" w:space="4" w:color="4F81BD" w:themeColor="accent1"/>
      </w:pBdr>
      <w:spacing w:lineRule="auto" w:line="240"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Intestazioneepidipagina" w:customStyle="1">
    <w:name w:val="Intestazione e piè di pagina"/>
    <w:basedOn w:val="Normal"/>
    <w:qFormat/>
    <w:pPr/>
    <w:rPr/>
  </w:style>
  <w:style w:type="paragraph" w:styleId="Header">
    <w:name w:val="header"/>
    <w:basedOn w:val="Normal"/>
    <w:link w:val="IntestazioneCarattere"/>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PidipaginaCarattere"/>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before="0" w:after="0"/>
      <w:jc w:val="lef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Subtitle">
    <w:name w:val="Subtitle"/>
    <w:basedOn w:val="Normal"/>
    <w:next w:val="Normal"/>
    <w:link w:val="SottotitoloCarattere"/>
    <w:uiPriority w:val="11"/>
    <w:qFormat/>
    <w:rsid w:val="00fc693f"/>
    <w:pPr/>
    <w:rPr>
      <w:rFonts w:ascii="Calibri" w:hAnsi="Calibri" w:eastAsia=""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left="720"/>
      <w:contextualSpacing/>
    </w:pPr>
    <w:rPr/>
  </w:style>
  <w:style w:type="paragraph" w:styleId="BodyText2">
    <w:name w:val="Body Text 2"/>
    <w:basedOn w:val="Normal"/>
    <w:link w:val="Corpodeltesto2Carattere"/>
    <w:uiPriority w:val="99"/>
    <w:unhideWhenUsed/>
    <w:qFormat/>
    <w:rsid w:val="00aa1d8d"/>
    <w:pPr>
      <w:spacing w:lineRule="auto" w:line="480" w:before="0" w:after="120"/>
    </w:pPr>
    <w:rPr/>
  </w:style>
  <w:style w:type="paragraph" w:styleId="BodyText3">
    <w:name w:val="Body Text 3"/>
    <w:basedOn w:val="Normal"/>
    <w:link w:val="Corpodeltesto3Carattere"/>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200"/>
      <w:ind w:hanging="360" w:left="720"/>
      <w:contextualSpacing/>
    </w:pPr>
    <w:rPr/>
  </w:style>
  <w:style w:type="paragraph" w:styleId="List3">
    <w:name w:val="List 3"/>
    <w:basedOn w:val="Normal"/>
    <w:uiPriority w:val="99"/>
    <w:unhideWhenUsed/>
    <w:qFormat/>
    <w:rsid w:val="00326f90"/>
    <w:pPr>
      <w:spacing w:before="0" w:after="200"/>
      <w:ind w:hanging="360" w:left="1080"/>
      <w:contextualSpacing/>
    </w:pPr>
    <w:rPr/>
  </w:style>
  <w:style w:type="paragraph" w:styleId="ListBullet">
    <w:name w:val="List Bullet"/>
    <w:basedOn w:val="Normal"/>
    <w:uiPriority w:val="99"/>
    <w:unhideWhenUsed/>
    <w:rsid w:val="00326f90"/>
    <w:pPr>
      <w:numPr>
        <w:ilvl w:val="0"/>
        <w:numId w:val="1"/>
      </w:numPr>
      <w:spacing w:before="0" w:after="200"/>
      <w:contextualSpacing/>
    </w:pPr>
    <w:rPr/>
  </w:style>
  <w:style w:type="paragraph" w:styleId="ListBullet2">
    <w:name w:val="List Bullet 2"/>
    <w:basedOn w:val="Normal"/>
    <w:uiPriority w:val="99"/>
    <w:unhideWhenUsed/>
    <w:rsid w:val="00326f90"/>
    <w:pPr>
      <w:numPr>
        <w:ilvl w:val="0"/>
        <w:numId w:val="2"/>
      </w:numPr>
      <w:spacing w:before="0" w:after="200"/>
      <w:contextualSpacing/>
    </w:pPr>
    <w:rPr/>
  </w:style>
  <w:style w:type="paragraph" w:styleId="ListBullet3">
    <w:name w:val="List Bullet 3"/>
    <w:basedOn w:val="Normal"/>
    <w:uiPriority w:val="99"/>
    <w:unhideWhenUsed/>
    <w:rsid w:val="00326f90"/>
    <w:pPr>
      <w:numPr>
        <w:ilvl w:val="0"/>
        <w:numId w:val="3"/>
      </w:numPr>
      <w:spacing w:before="0" w:after="200"/>
      <w:contextualSpacing/>
    </w:pPr>
    <w:rPr/>
  </w:style>
  <w:style w:type="paragraph" w:styleId="ListNumber">
    <w:name w:val="List Number"/>
    <w:basedOn w:val="Normal"/>
    <w:uiPriority w:val="99"/>
    <w:unhideWhenUsed/>
    <w:rsid w:val="00326f90"/>
    <w:pPr>
      <w:numPr>
        <w:ilvl w:val="0"/>
        <w:numId w:val="4"/>
      </w:numPr>
      <w:spacing w:before="0" w:after="200"/>
      <w:contextualSpacing/>
    </w:pPr>
    <w:rPr/>
  </w:style>
  <w:style w:type="paragraph" w:styleId="ListNumber2">
    <w:name w:val="List Number 2"/>
    <w:basedOn w:val="Normal"/>
    <w:uiPriority w:val="99"/>
    <w:unhideWhenUsed/>
    <w:rsid w:val="0029639d"/>
    <w:pPr>
      <w:numPr>
        <w:ilvl w:val="0"/>
        <w:numId w:val="5"/>
      </w:numPr>
      <w:spacing w:before="0" w:after="200"/>
      <w:contextualSpacing/>
    </w:pPr>
    <w:rPr/>
  </w:style>
  <w:style w:type="paragraph" w:styleId="ListNumber3">
    <w:name w:val="List Number 3"/>
    <w:basedOn w:val="Normal"/>
    <w:uiPriority w:val="99"/>
    <w:unhideWhenUsed/>
    <w:rsid w:val="0029639d"/>
    <w:pPr>
      <w:numPr>
        <w:ilvl w:val="0"/>
        <w:numId w:val="6"/>
      </w:numPr>
      <w:spacing w:before="0" w:after="200"/>
      <w:contextualSpacing/>
    </w:pPr>
    <w:rPr/>
  </w:style>
  <w:style w:type="paragraph" w:styleId="ListContinue">
    <w:name w:val="List Continue"/>
    <w:basedOn w:val="Normal"/>
    <w:uiPriority w:val="99"/>
    <w:unhideWhenUsed/>
    <w:rsid w:val="0029639d"/>
    <w:pPr>
      <w:spacing w:before="0" w:after="120"/>
      <w:ind w:left="360"/>
      <w:contextualSpacing/>
    </w:pPr>
    <w:rPr/>
  </w:style>
  <w:style w:type="paragraph" w:styleId="ListContinue2">
    <w:name w:val="List Continue 2"/>
    <w:basedOn w:val="Normal"/>
    <w:uiPriority w:val="99"/>
    <w:unhideWhenUsed/>
    <w:rsid w:val="0029639d"/>
    <w:pPr>
      <w:spacing w:before="0" w:after="120"/>
      <w:ind w:left="720"/>
      <w:contextualSpacing/>
    </w:pPr>
    <w:rPr/>
  </w:style>
  <w:style w:type="paragraph" w:styleId="ListContinue3">
    <w:name w:val="List Continue 3"/>
    <w:basedOn w:val="Normal"/>
    <w:uiPriority w:val="99"/>
    <w:unhideWhenUsed/>
    <w:rsid w:val="0029639d"/>
    <w:pPr>
      <w:spacing w:before="0" w:after="120"/>
      <w:ind w:left="1080"/>
      <w:contextualSpacing/>
    </w:pPr>
    <w:rPr/>
  </w:style>
  <w:style w:type="paragraph" w:styleId="MacroText">
    <w:name w:val="macro"/>
    <w:link w:val="TestomacroCarattere"/>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left"/>
    </w:pPr>
    <w:rPr>
      <w:rFonts w:ascii="Courier" w:hAnsi="Courier" w:eastAsia="" w:cs="" w:cstheme="minorBidi" w:eastAsiaTheme="minorEastAsia"/>
      <w:color w:val="auto"/>
      <w:kern w:val="0"/>
      <w:sz w:val="20"/>
      <w:szCs w:val="20"/>
      <w:lang w:val="en-US" w:eastAsia="en-US" w:bidi="ar-SA"/>
    </w:rPr>
  </w:style>
  <w:style w:type="paragraph" w:styleId="Quote">
    <w:name w:val="Quote"/>
    <w:basedOn w:val="Normal"/>
    <w:next w:val="Normal"/>
    <w:link w:val="CitazioneCarattere"/>
    <w:uiPriority w:val="29"/>
    <w:qFormat/>
    <w:rsid w:val="00fc693f"/>
    <w:pPr/>
    <w:rPr>
      <w:i/>
      <w:iCs/>
      <w:color w:themeColor="text1" w:val="000000"/>
    </w:rPr>
  </w:style>
  <w:style w:type="paragraph" w:styleId="IntenseQuote">
    <w:name w:val="Intense Quote"/>
    <w:basedOn w:val="Normal"/>
    <w:next w:val="Normal"/>
    <w:link w:val="CitazioneintensaCarattere"/>
    <w:uiPriority w:val="30"/>
    <w:qFormat/>
    <w:rsid w:val="00fc693f"/>
    <w:pPr>
      <w:pBdr>
        <w:bottom w:val="single" w:sz="4" w:space="4" w:color="4F81BD" w:themeColor="accent1"/>
      </w:pBdr>
      <w:spacing w:before="200" w:after="280"/>
      <w:ind w:left="936" w:right="936"/>
    </w:pPr>
    <w:rPr>
      <w:b/>
      <w:bCs/>
      <w:i/>
      <w:iCs/>
      <w:color w:themeColor="accent1" w:val="4F81BD"/>
    </w:rPr>
  </w:style>
  <w:style w:type="paragraph" w:styleId="IndexHeading">
    <w:name w:val="index heading"/>
    <w:basedOn w:val="Title"/>
    <w:pPr/>
    <w:rPr/>
  </w:style>
  <w:style w:type="paragraph" w:styleId="TOCHeading">
    <w:name w:val="TOC Heading"/>
    <w:basedOn w:val="Heading1"/>
    <w:next w:val="Normal"/>
    <w:uiPriority w:val="39"/>
    <w:semiHidden/>
    <w:unhideWhenUsed/>
    <w:qFormat/>
    <w:rsid w:val="00fc693f"/>
    <w:pPr>
      <w:outlineLvl w:val="9"/>
    </w:pPr>
    <w:rPr/>
  </w:style>
  <w:style w:type="paragraph" w:styleId="CommentText">
    <w:name w:val="annotation text"/>
    <w:basedOn w:val="Normal"/>
    <w:link w:val="TestocommentoCarattere"/>
    <w:uiPriority w:val="99"/>
    <w:semiHidden/>
    <w:unhideWhenUsed/>
    <w:rsid w:val="004033ac"/>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4033ac"/>
    <w:pPr/>
    <w:rPr>
      <w:b/>
      <w:bCs/>
    </w:rPr>
  </w:style>
  <w:style w:type="paragraph" w:styleId="BalloonText">
    <w:name w:val="Balloon Text"/>
    <w:basedOn w:val="Normal"/>
    <w:link w:val="TestofumettoCarattere"/>
    <w:uiPriority w:val="99"/>
    <w:semiHidden/>
    <w:unhideWhenUsed/>
    <w:qFormat/>
    <w:rsid w:val="004033ac"/>
    <w:pPr>
      <w:spacing w:lineRule="auto" w:line="240" w:before="0" w:after="0"/>
    </w:pPr>
    <w:rPr>
      <w:rFonts w:ascii="Segoe UI" w:hAnsi="Segoe UI" w:cs="Segoe UI"/>
      <w:sz w:val="18"/>
      <w:szCs w:val="18"/>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59"/>
    <w:rsid w:val="00fc693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fondochiaro">
    <w:name w:val="Light Shading"/>
    <w:basedOn w:val="Tabellanormale"/>
    <w:uiPriority w:val="60"/>
    <w:rsid w:val="00fc693f"/>
    <w:rPr>
      <w:color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rPr>
      <w:color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rPr>
      <w:color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rPr>
      <w:color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rPr>
      <w:color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rPr>
      <w:color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rPr>
      <w:color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Elencochiaro-Colore1">
    <w:name w:val="Light List Accent 1"/>
    <w:basedOn w:val="Tabellanormale"/>
    <w:uiPriority w:val="61"/>
    <w:rsid w:val="00fc693f"/>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Elencochiaro-Colore2">
    <w:name w:val="Light List Accent 2"/>
    <w:basedOn w:val="Tabellanormale"/>
    <w:uiPriority w:val="61"/>
    <w:rsid w:val="00cb0664"/>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Elencochiaro-Colore3">
    <w:name w:val="Light List Accent 3"/>
    <w:basedOn w:val="Tabellanormale"/>
    <w:uiPriority w:val="61"/>
    <w:rsid w:val="00cb0664"/>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Elencochiaro-Colore4">
    <w:name w:val="Light List Accent 4"/>
    <w:basedOn w:val="Tabellanormale"/>
    <w:uiPriority w:val="61"/>
    <w:rsid w:val="00cb0664"/>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Elencochiaro-Colore5">
    <w:name w:val="Light List Accent 5"/>
    <w:basedOn w:val="Tabellanormale"/>
    <w:uiPriority w:val="61"/>
    <w:rsid w:val="00cb0664"/>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Elencochiaro-Colore6">
    <w:name w:val="Light List Accent 6"/>
    <w:basedOn w:val="Tabellanormale"/>
    <w:uiPriority w:val="61"/>
    <w:rsid w:val="00cb0664"/>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Grigliachiara">
    <w:name w:val="Light Grid"/>
    <w:basedOn w:val="Tabellanormale"/>
    <w:uiPriority w:val="62"/>
    <w:rsid w:val="00cb0664"/>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Grigliachiara-Colore1">
    <w:name w:val="Light Grid Accent 1"/>
    <w:basedOn w:val="Tabellanormale"/>
    <w:uiPriority w:val="62"/>
    <w:rsid w:val="00cb0664"/>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Grigliachiara-Colore2">
    <w:name w:val="Light Grid Accent 2"/>
    <w:basedOn w:val="Tabellanormale"/>
    <w:uiPriority w:val="62"/>
    <w:rsid w:val="00cb0664"/>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Grigliachiara-Colore3">
    <w:name w:val="Light Grid Accent 3"/>
    <w:basedOn w:val="Tabellanormale"/>
    <w:uiPriority w:val="62"/>
    <w:rsid w:val="00cb0664"/>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Grigliachiara-Colore4">
    <w:name w:val="Light Grid Accent 4"/>
    <w:basedOn w:val="Tabellanormale"/>
    <w:uiPriority w:val="62"/>
    <w:rsid w:val="00cb0664"/>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Grigliachiara-Colore5">
    <w:name w:val="Light Grid Accent 5"/>
    <w:basedOn w:val="Tabellanormale"/>
    <w:uiPriority w:val="62"/>
    <w:rsid w:val="00cb0664"/>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Grigliachiara-Colore6">
    <w:name w:val="Light Grid Accent 6"/>
    <w:basedOn w:val="Tabellanormale"/>
    <w:uiPriority w:val="62"/>
    <w:rsid w:val="00cb0664"/>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fondomedio1">
    <w:name w:val="Medium Shading 1"/>
    <w:basedOn w:val="Tabellanormale"/>
    <w:uiPriority w:val="63"/>
    <w:rsid w:val="00cb0664"/>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themeColor="background1"/>
      </w:rPr>
      <w:tblPr/>
      <w:tcPr>
        <w:tcBorders>
          <w:top w:val="single" w:color="000000" w:themeColor="text1" w:sz="8" w:space="0"/>
          <w:left w:val="single" w:color="000000" w:themeColor="text1" w:sz="8" w:space="0"/>
          <w:bottom w:val="single" w:color="000000" w:themeColor="text1" w:sz="8" w:space="0"/>
          <w:right w:val="single" w:color="00000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themeColor="background1"/>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themeColor="background1"/>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themeColor="background1"/>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themeColor="background1"/>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themeColor="background1"/>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themeColor="background1"/>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Sfondomedio2-Colore1">
    <w:name w:val="Medium Shading 2 Accent 1"/>
    <w:basedOn w:val="Tabellanormale"/>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Sfondomedio2-Colore2">
    <w:name w:val="Medium Shading 2 Accent 2"/>
    <w:basedOn w:val="Tabellanormale"/>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Sfondomedio2-Colore3">
    <w:name w:val="Medium Shading 2 Accent 3"/>
    <w:basedOn w:val="Tabellanormale"/>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Sfondomedio2-Colore4">
    <w:name w:val="Medium Shading 2 Accent 4"/>
    <w:basedOn w:val="Tabellanormale"/>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Sfondomedio2-Colore5">
    <w:name w:val="Medium Shading 2 Accent 5"/>
    <w:basedOn w:val="Tabellanormale"/>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Sfondomedio2-Colore6">
    <w:name w:val="Medium Shading 2 Accent 6"/>
    <w:basedOn w:val="Tabellanormale"/>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Elencomedio1">
    <w:name w:val="Medium List 1"/>
    <w:basedOn w:val="Tabellanormale"/>
    <w:uiPriority w:val="65"/>
    <w:rsid w:val="00cb0664"/>
    <w:rPr>
      <w:color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rPr>
      <w:color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rPr>
      <w:color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rPr>
      <w:color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rPr>
      <w:color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rPr>
      <w:color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rPr>
      <w:color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00000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4F81B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0504D"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9BBB59"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8064A2"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4BACC6"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79646"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themeColor="text1"/>
      </w:rPr>
      <w:tblPr/>
      <w:tcPr>
        <w:shd w:val="clear" w:color="auto" w:fill="E6E6E6" w:themeFill="tex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themeColor="text1"/>
      </w:rPr>
      <w:tblPr/>
      <w:tcPr>
        <w:shd w:val="clear" w:color="auto" w:fill="EDF2F8" w:themeFill="accen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themeColor="text1"/>
      </w:rPr>
      <w:tblPr/>
      <w:tcPr>
        <w:shd w:val="clear" w:color="auto" w:fill="F8EDED" w:themeFill="accent2"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themeColor="text1"/>
      </w:rPr>
      <w:tblPr/>
      <w:tcPr>
        <w:shd w:val="clear" w:color="auto" w:fill="F5F8EE" w:themeFill="accent3"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themeColor="text1"/>
      </w:rPr>
      <w:tblPr/>
      <w:tcPr>
        <w:shd w:val="clear" w:color="auto" w:fill="F2EFF6" w:themeFill="accent4"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themeColor="text1"/>
      </w:rPr>
      <w:tblPr/>
      <w:tcPr>
        <w:shd w:val="clear" w:color="auto" w:fill="EDF6F9" w:themeFill="accent5"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themeColor="text1"/>
      </w:rPr>
      <w:tblPr/>
      <w:tcPr>
        <w:shd w:val="clear" w:color="auto" w:fill="FEF4EC" w:themeFill="accent6"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Grigliamedia3-Colore1">
    <w:name w:val="Medium Grid 3 Accent 1"/>
    <w:basedOn w:val="Tabellanormale"/>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Grigliamedia3-Colore2">
    <w:name w:val="Medium Grid 3 Accent 2"/>
    <w:basedOn w:val="Tabellanormale"/>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Grigliamedia3-Colore3">
    <w:name w:val="Medium Grid 3 Accent 3"/>
    <w:basedOn w:val="Tabellanormale"/>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Grigliamedia3-Colore4">
    <w:name w:val="Medium Grid 3 Accent 4"/>
    <w:basedOn w:val="Tabellanormale"/>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Grigliamedia3-Colore5">
    <w:name w:val="Medium Grid 3 Accent 5"/>
    <w:basedOn w:val="Tabellanormale"/>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Grigliamedia3-Colore6">
    <w:name w:val="Medium Grid 3 Accent 6"/>
    <w:basedOn w:val="Tabellanormale"/>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Elencoscuro">
    <w:name w:val="Dark List"/>
    <w:basedOn w:val="Tabellanormale"/>
    <w:uiPriority w:val="70"/>
    <w:rsid w:val="00cb0664"/>
    <w:rPr>
      <w:color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rPr>
      <w:color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rPr>
      <w:color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rPr>
      <w:color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rPr>
      <w:color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rPr>
      <w:color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rPr>
      <w:color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rPr>
      <w:color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000000" w:themeFill="text1" w:themeFillShade="99"/>
      </w:tcPr>
    </w:tblStylePr>
    <w:tblStylePr w:type="firstCol">
      <w:rPr>
        <w:color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themeColor="text1"/>
      </w:rPr>
      <w:tblPr/>
    </w:tblStylePr>
    <w:tblStylePr w:type="nwCell">
      <w:rPr>
        <w:color w:themeColor="text1"/>
      </w:rPr>
      <w:tblPr/>
    </w:tblStylePr>
  </w:style>
  <w:style w:type="table" w:styleId="Sfondoacolori-Colore1">
    <w:name w:val="Colorful Shading Accent 1"/>
    <w:basedOn w:val="Tabellanormale"/>
    <w:uiPriority w:val="71"/>
    <w:rsid w:val="00cb0664"/>
    <w:rPr>
      <w:color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C4C74" w:themeFill="accent1" w:themeFillShade="99"/>
      </w:tcPr>
    </w:tblStylePr>
    <w:tblStylePr w:type="firstCol">
      <w:rPr>
        <w:color w:themeColor="background1"/>
      </w:rPr>
      <w:tblPr/>
      <w:tcPr>
        <w:tcBorders>
          <w:top w:val="nil"/>
          <w:left w:val="nil"/>
          <w:bottom w:val="nil"/>
          <w:right w:val="nil"/>
          <w:insideH w:val="single" w:color="4F81BD" w:themeColor="accent1" w:sz="4" w:space="0"/>
          <w:insideV w:val="nil"/>
        </w:tcBorders>
        <w:shd w:val="clear" w:color="auto" w:fill="2C4C74" w:themeFill="accent1" w:themeFillShade="99"/>
      </w:tcPr>
    </w:tblStylePr>
    <w:tblStylePr w:type="lastCol">
      <w:rPr>
        <w:color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themeColor="text1"/>
      </w:rPr>
      <w:tblPr/>
    </w:tblStylePr>
    <w:tblStylePr w:type="nwCell">
      <w:rPr>
        <w:color w:themeColor="text1"/>
      </w:rPr>
      <w:tblPr/>
    </w:tblStylePr>
  </w:style>
  <w:style w:type="table" w:styleId="Sfondoacolori-Colore2">
    <w:name w:val="Colorful Shading Accent 2"/>
    <w:basedOn w:val="Tabellanormale"/>
    <w:uiPriority w:val="71"/>
    <w:rsid w:val="00cb0664"/>
    <w:rPr>
      <w:color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772C2A" w:themeFill="accent2" w:themeFillShade="99"/>
      </w:tcPr>
    </w:tblStylePr>
    <w:tblStylePr w:type="firstCol">
      <w:rPr>
        <w:color w:themeColor="background1"/>
      </w:rPr>
      <w:tblPr/>
      <w:tcPr>
        <w:tcBorders>
          <w:top w:val="nil"/>
          <w:left w:val="nil"/>
          <w:bottom w:val="nil"/>
          <w:right w:val="nil"/>
          <w:insideH w:val="single" w:color="C0504D" w:themeColor="accent2" w:sz="4" w:space="0"/>
          <w:insideV w:val="nil"/>
        </w:tcBorders>
        <w:shd w:val="clear" w:color="auto" w:fill="772C2A" w:themeFill="accent2" w:themeFillShade="99"/>
      </w:tcPr>
    </w:tblStylePr>
    <w:tblStylePr w:type="lastCol">
      <w:rPr>
        <w:color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themeColor="text1"/>
      </w:rPr>
      <w:tblPr/>
    </w:tblStylePr>
    <w:tblStylePr w:type="nwCell">
      <w:rPr>
        <w:color w:themeColor="text1"/>
      </w:rPr>
      <w:tblPr/>
    </w:tblStylePr>
  </w:style>
  <w:style w:type="table" w:styleId="Sfondoacolori-Colore3">
    <w:name w:val="Colorful Shading Accent 3"/>
    <w:basedOn w:val="Tabellanormale"/>
    <w:uiPriority w:val="71"/>
    <w:rsid w:val="00cb0664"/>
    <w:rPr>
      <w:color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5E7530" w:themeFill="accent3" w:themeFillShade="99"/>
      </w:tcPr>
    </w:tblStylePr>
    <w:tblStylePr w:type="firstCol">
      <w:rPr>
        <w:color w:themeColor="background1"/>
      </w:rPr>
      <w:tblPr/>
      <w:tcPr>
        <w:tcBorders>
          <w:top w:val="nil"/>
          <w:left w:val="nil"/>
          <w:bottom w:val="nil"/>
          <w:right w:val="nil"/>
          <w:insideH w:val="single" w:color="9BBB59" w:themeColor="accent3" w:sz="4" w:space="0"/>
          <w:insideV w:val="nil"/>
        </w:tcBorders>
        <w:shd w:val="clear" w:color="auto" w:fill="5E7530" w:themeFill="accent3" w:themeFillShade="99"/>
      </w:tcPr>
    </w:tblStylePr>
    <w:tblStylePr w:type="lastCol">
      <w:rPr>
        <w:color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rPr>
      <w:color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4C3B62" w:themeFill="accent4" w:themeFillShade="99"/>
      </w:tcPr>
    </w:tblStylePr>
    <w:tblStylePr w:type="firstCol">
      <w:rPr>
        <w:color w:themeColor="background1"/>
      </w:rPr>
      <w:tblPr/>
      <w:tcPr>
        <w:tcBorders>
          <w:top w:val="nil"/>
          <w:left w:val="nil"/>
          <w:bottom w:val="nil"/>
          <w:right w:val="nil"/>
          <w:insideH w:val="single" w:color="8064A2" w:themeColor="accent4" w:sz="4" w:space="0"/>
          <w:insideV w:val="nil"/>
        </w:tcBorders>
        <w:shd w:val="clear" w:color="auto" w:fill="4C3B62" w:themeFill="accent4" w:themeFillShade="99"/>
      </w:tcPr>
    </w:tblStylePr>
    <w:tblStylePr w:type="lastCol">
      <w:rPr>
        <w:color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themeColor="text1"/>
      </w:rPr>
      <w:tblPr/>
    </w:tblStylePr>
    <w:tblStylePr w:type="nwCell">
      <w:rPr>
        <w:color w:themeColor="text1"/>
      </w:rPr>
      <w:tblPr/>
    </w:tblStylePr>
  </w:style>
  <w:style w:type="table" w:styleId="Sfondoacolori-Colore5">
    <w:name w:val="Colorful Shading Accent 5"/>
    <w:basedOn w:val="Tabellanormale"/>
    <w:uiPriority w:val="71"/>
    <w:rsid w:val="00cb0664"/>
    <w:rPr>
      <w:color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76A7C" w:themeFill="accent5" w:themeFillShade="99"/>
      </w:tcPr>
    </w:tblStylePr>
    <w:tblStylePr w:type="firstCol">
      <w:rPr>
        <w:color w:themeColor="background1"/>
      </w:rPr>
      <w:tblPr/>
      <w:tcPr>
        <w:tcBorders>
          <w:top w:val="nil"/>
          <w:left w:val="nil"/>
          <w:bottom w:val="nil"/>
          <w:right w:val="nil"/>
          <w:insideH w:val="single" w:color="4BACC6" w:themeColor="accent5" w:sz="4" w:space="0"/>
          <w:insideV w:val="nil"/>
        </w:tcBorders>
        <w:shd w:val="clear" w:color="auto" w:fill="276A7C" w:themeFill="accent5" w:themeFillShade="99"/>
      </w:tcPr>
    </w:tblStylePr>
    <w:tblStylePr w:type="lastCol">
      <w:rPr>
        <w:color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themeColor="text1"/>
      </w:rPr>
      <w:tblPr/>
    </w:tblStylePr>
    <w:tblStylePr w:type="nwCell">
      <w:rPr>
        <w:color w:themeColor="text1"/>
      </w:rPr>
      <w:tblPr/>
    </w:tblStylePr>
  </w:style>
  <w:style w:type="table" w:styleId="Sfondoacolori-Colore6">
    <w:name w:val="Colorful Shading Accent 6"/>
    <w:basedOn w:val="Tabellanormale"/>
    <w:uiPriority w:val="71"/>
    <w:rsid w:val="00cb0664"/>
    <w:rPr>
      <w:color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B65608" w:themeFill="accent6" w:themeFillShade="99"/>
      </w:tcPr>
    </w:tblStylePr>
    <w:tblStylePr w:type="firstCol">
      <w:rPr>
        <w:color w:themeColor="background1"/>
      </w:rPr>
      <w:tblPr/>
      <w:tcPr>
        <w:tcBorders>
          <w:top w:val="nil"/>
          <w:left w:val="nil"/>
          <w:bottom w:val="nil"/>
          <w:right w:val="nil"/>
          <w:insideH w:val="single" w:color="F79646" w:themeColor="accent6" w:sz="4" w:space="0"/>
          <w:insideV w:val="nil"/>
        </w:tcBorders>
        <w:shd w:val="clear" w:color="auto" w:fill="B65608" w:themeFill="accent6" w:themeFillShade="99"/>
      </w:tcPr>
    </w:tblStylePr>
    <w:tblStylePr w:type="lastCol">
      <w:rPr>
        <w:color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themeColor="text1"/>
      </w:rPr>
      <w:tblPr/>
    </w:tblStylePr>
    <w:tblStylePr w:type="nwCell">
      <w:rPr>
        <w:color w:themeColor="text1"/>
      </w:rPr>
      <w:tblPr/>
    </w:tblStylePr>
  </w:style>
  <w:style w:type="table" w:styleId="Elencoacolori">
    <w:name w:val="Colorful List"/>
    <w:basedOn w:val="Tabellanormale"/>
    <w:uiPriority w:val="72"/>
    <w:rsid w:val="00cb0664"/>
    <w:rPr>
      <w:color w:themeColor="text1"/>
    </w:rPr>
    <w:tblPr>
      <w:tblStyleRowBandSize w:val="1"/>
      <w:tblStyleColBandSize w:val="1"/>
    </w:tblPr>
    <w:tcPr>
      <w:shd w:val="clear" w:color="auto" w:fill="E6E6E6" w:themeFill="tex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rPr>
      <w:color w:themeColor="text1"/>
    </w:rPr>
    <w:tblPr>
      <w:tblStyleRowBandSize w:val="1"/>
      <w:tblStyleColBandSize w:val="1"/>
    </w:tblPr>
    <w:tcPr>
      <w:shd w:val="clear" w:color="auto" w:fill="EDF2F8" w:themeFill="accen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rPr>
      <w:color w:themeColor="text1"/>
    </w:rPr>
    <w:tblPr>
      <w:tblStyleRowBandSize w:val="1"/>
      <w:tblStyleColBandSize w:val="1"/>
    </w:tblPr>
    <w:tcPr>
      <w:shd w:val="clear" w:color="auto" w:fill="F8EDED" w:themeFill="accent2"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rPr>
      <w:color w:themeColor="text1"/>
    </w:rPr>
    <w:tblPr>
      <w:tblStyleRowBandSize w:val="1"/>
      <w:tblStyleColBandSize w:val="1"/>
    </w:tblPr>
    <w:tcPr>
      <w:shd w:val="clear" w:color="auto" w:fill="F5F8EE" w:themeFill="accent3" w:themeFillTint="19"/>
    </w:tcPr>
    <w:tblStylePr w:type="firstRow">
      <w:rPr>
        <w:b/>
        <w:bCs/>
        <w:color w:themeColor="background1"/>
      </w:rPr>
      <w:tblPr/>
      <w:tcPr>
        <w:tcBorders>
          <w:bottom w:val="single" w:color="FFFFFF" w:themeColor="background1" w:sz="12" w:space="0"/>
        </w:tcBorders>
        <w:shd w:val="clear" w:color="auto" w:fill="664E82" w:themeFill="accent4" w:themeFillShade="cc"/>
      </w:tcPr>
    </w:tblStylePr>
    <w:tblStylePr w:type="lastRow">
      <w:rPr>
        <w:b/>
        <w:bCs/>
        <w:color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rPr>
      <w:color w:themeColor="text1"/>
    </w:rPr>
    <w:tblPr>
      <w:tblStyleRowBandSize w:val="1"/>
      <w:tblStyleColBandSize w:val="1"/>
    </w:tblPr>
    <w:tcPr>
      <w:shd w:val="clear" w:color="auto" w:fill="F2EFF6" w:themeFill="accent4" w:themeFillTint="19"/>
    </w:tcPr>
    <w:tblStylePr w:type="firstRow">
      <w:rPr>
        <w:b/>
        <w:bCs/>
        <w:color w:themeColor="background1"/>
      </w:rPr>
      <w:tblPr/>
      <w:tcPr>
        <w:tcBorders>
          <w:bottom w:val="single" w:color="FFFFFF" w:themeColor="background1" w:sz="12" w:space="0"/>
        </w:tcBorders>
        <w:shd w:val="clear" w:color="auto" w:fill="7E9C40" w:themeFill="accent3" w:themeFillShade="cc"/>
      </w:tcPr>
    </w:tblStylePr>
    <w:tblStylePr w:type="lastRow">
      <w:rPr>
        <w:b/>
        <w:bCs/>
        <w:color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rPr>
      <w:color w:themeColor="text1"/>
    </w:rPr>
    <w:tblPr>
      <w:tblStyleRowBandSize w:val="1"/>
      <w:tblStyleColBandSize w:val="1"/>
    </w:tblPr>
    <w:tcPr>
      <w:shd w:val="clear" w:color="auto" w:fill="EDF6F9" w:themeFill="accent5" w:themeFillTint="19"/>
    </w:tcPr>
    <w:tblStylePr w:type="firstRow">
      <w:rPr>
        <w:b/>
        <w:bCs/>
        <w:color w:themeColor="background1"/>
      </w:rPr>
      <w:tblPr/>
      <w:tcPr>
        <w:tcBorders>
          <w:bottom w:val="single" w:color="FFFFFF" w:themeColor="background1" w:sz="12" w:space="0"/>
        </w:tcBorders>
        <w:shd w:val="clear" w:color="auto" w:fill="F2730A" w:themeFill="accent6" w:themeFillShade="cc"/>
      </w:tcPr>
    </w:tblStylePr>
    <w:tblStylePr w:type="lastRow">
      <w:rPr>
        <w:b/>
        <w:bCs/>
        <w:color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rPr>
      <w:color w:themeColor="text1"/>
    </w:rPr>
    <w:tblPr>
      <w:tblStyleRowBandSize w:val="1"/>
      <w:tblStyleColBandSize w:val="1"/>
    </w:tblPr>
    <w:tcPr>
      <w:shd w:val="clear" w:color="auto" w:fill="FEF4EC" w:themeFill="accent6" w:themeFillTint="19"/>
    </w:tcPr>
    <w:tblStylePr w:type="firstRow">
      <w:rPr>
        <w:b/>
        <w:bCs/>
        <w:color w:themeColor="background1"/>
      </w:rPr>
      <w:tblPr/>
      <w:tcPr>
        <w:tcBorders>
          <w:bottom w:val="single" w:color="FFFFFF" w:themeColor="background1" w:sz="12" w:space="0"/>
        </w:tcBorders>
        <w:shd w:val="clear" w:color="auto" w:fill="348DA5" w:themeFill="accent5" w:themeFillShade="cc"/>
      </w:tcPr>
    </w:tblStylePr>
    <w:tblStylePr w:type="lastRow">
      <w:rPr>
        <w:b/>
        <w:bCs/>
        <w:color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rPr>
      <w:color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themeColor="text1"/>
      </w:rPr>
      <w:tblPr/>
      <w:tcPr>
        <w:shd w:val="clear" w:color="auto" w:fill="999999" w:themeFill="text1" w:themeFillTint="66"/>
      </w:tcPr>
    </w:tblStylePr>
    <w:tblStylePr w:type="firstCol">
      <w:rPr>
        <w:color w:themeColor="background1"/>
      </w:rPr>
      <w:tblPr/>
      <w:tcPr>
        <w:shd w:val="clear" w:color="auto" w:fill="000000" w:themeFill="text1" w:themeFillShade="bf"/>
      </w:tcPr>
    </w:tblStylePr>
    <w:tblStylePr w:type="lastCol">
      <w:rPr>
        <w:color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rPr>
      <w:color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themeColor="text1"/>
      </w:rPr>
      <w:tblPr/>
      <w:tcPr>
        <w:shd w:val="clear" w:color="auto" w:fill="B8CCE4" w:themeFill="accent1" w:themeFillTint="66"/>
      </w:tcPr>
    </w:tblStylePr>
    <w:tblStylePr w:type="firstCol">
      <w:rPr>
        <w:color w:themeColor="background1"/>
      </w:rPr>
      <w:tblPr/>
      <w:tcPr>
        <w:shd w:val="clear" w:color="auto" w:fill="365F91" w:themeFill="accent1" w:themeFillShade="bf"/>
      </w:tcPr>
    </w:tblStylePr>
    <w:tblStylePr w:type="lastCol">
      <w:rPr>
        <w:color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rPr>
      <w:color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themeColor="text1"/>
      </w:rPr>
      <w:tblPr/>
      <w:tcPr>
        <w:shd w:val="clear" w:color="auto" w:fill="E5B8B7" w:themeFill="accent2" w:themeFillTint="66"/>
      </w:tcPr>
    </w:tblStylePr>
    <w:tblStylePr w:type="firstCol">
      <w:rPr>
        <w:color w:themeColor="background1"/>
      </w:rPr>
      <w:tblPr/>
      <w:tcPr>
        <w:shd w:val="clear" w:color="auto" w:fill="943634" w:themeFill="accent2" w:themeFillShade="bf"/>
      </w:tcPr>
    </w:tblStylePr>
    <w:tblStylePr w:type="lastCol">
      <w:rPr>
        <w:color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rPr>
      <w:color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themeColor="text1"/>
      </w:rPr>
      <w:tblPr/>
      <w:tcPr>
        <w:shd w:val="clear" w:color="auto" w:fill="D6E3BC" w:themeFill="accent3" w:themeFillTint="66"/>
      </w:tcPr>
    </w:tblStylePr>
    <w:tblStylePr w:type="firstCol">
      <w:rPr>
        <w:color w:themeColor="background1"/>
      </w:rPr>
      <w:tblPr/>
      <w:tcPr>
        <w:shd w:val="clear" w:color="auto" w:fill="76923C" w:themeFill="accent3" w:themeFillShade="bf"/>
      </w:tcPr>
    </w:tblStylePr>
    <w:tblStylePr w:type="lastCol">
      <w:rPr>
        <w:color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rPr>
      <w:color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themeColor="text1"/>
      </w:rPr>
      <w:tblPr/>
      <w:tcPr>
        <w:shd w:val="clear" w:color="auto" w:fill="CCC0D9" w:themeFill="accent4" w:themeFillTint="66"/>
      </w:tcPr>
    </w:tblStylePr>
    <w:tblStylePr w:type="firstCol">
      <w:rPr>
        <w:color w:themeColor="background1"/>
      </w:rPr>
      <w:tblPr/>
      <w:tcPr>
        <w:shd w:val="clear" w:color="auto" w:fill="5F497A" w:themeFill="accent4" w:themeFillShade="bf"/>
      </w:tcPr>
    </w:tblStylePr>
    <w:tblStylePr w:type="lastCol">
      <w:rPr>
        <w:color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rPr>
      <w:color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themeColor="text1"/>
      </w:rPr>
      <w:tblPr/>
      <w:tcPr>
        <w:shd w:val="clear" w:color="auto" w:fill="B6DDE8" w:themeFill="accent5" w:themeFillTint="66"/>
      </w:tcPr>
    </w:tblStylePr>
    <w:tblStylePr w:type="firstCol">
      <w:rPr>
        <w:color w:themeColor="background1"/>
      </w:rPr>
      <w:tblPr/>
      <w:tcPr>
        <w:shd w:val="clear" w:color="auto" w:fill="31849B" w:themeFill="accent5" w:themeFillShade="bf"/>
      </w:tcPr>
    </w:tblStylePr>
    <w:tblStylePr w:type="lastCol">
      <w:rPr>
        <w:color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rPr>
      <w:color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themeColor="text1"/>
      </w:rPr>
      <w:tblPr/>
      <w:tcPr>
        <w:shd w:val="clear" w:color="auto" w:fill="FBD4B4" w:themeFill="accent6" w:themeFillTint="66"/>
      </w:tcPr>
    </w:tblStylePr>
    <w:tblStylePr w:type="firstCol">
      <w:rPr>
        <w:color w:themeColor="background1"/>
      </w:rPr>
      <w:tblPr/>
      <w:tcPr>
        <w:shd w:val="clear" w:color="auto" w:fill="E36C0A" w:themeFill="accent6" w:themeFillShade="bf"/>
      </w:tcPr>
    </w:tblStylePr>
    <w:tblStylePr w:type="lastCol">
      <w:rPr>
        <w:color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5A961-B73A-40B3-BB58-B69226E23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Application>LibreOffice/24.8.4.2$Windows_X86_64 LibreOffice_project/bb3cfa12c7b1bf994ecc5649a80400d06cd71002</Application>
  <AppVersion>15.0000</AppVersion>
  <Pages>12</Pages>
  <Words>3044</Words>
  <Characters>18143</Characters>
  <CharactersWithSpaces>20930</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2026-10-02T12:44:00Z</dcterms:created>
  <dc:creator>python-docx</dc:creator>
  <dc:description>generated by python-docx</dc:description>
  <dc:language>it-IT</dc:language>
  <cp:lastModifiedBy/>
  <dcterms:modified xsi:type="dcterms:W3CDTF">2026-10-06T12:42:43Z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